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5A7E" w14:textId="5A16BACF" w:rsidR="00F90F48" w:rsidRDefault="006C36E6" w:rsidP="00842C7E">
      <w:pPr>
        <w:pStyle w:val="Title"/>
      </w:pPr>
      <w:r>
        <w:t>Terms of Reference</w:t>
      </w:r>
    </w:p>
    <w:p w14:paraId="53191B8B" w14:textId="77777777" w:rsidR="00BF6F01" w:rsidRDefault="00BF6F01" w:rsidP="00E81AC0">
      <w:pPr>
        <w:pStyle w:val="Subtitle"/>
        <w:spacing w:after="840"/>
      </w:pPr>
    </w:p>
    <w:p w14:paraId="50005017" w14:textId="01D7E92D" w:rsidR="00E81AC0" w:rsidRDefault="006C36E6" w:rsidP="00E81AC0">
      <w:pPr>
        <w:pStyle w:val="Subtitle"/>
        <w:spacing w:after="840"/>
      </w:pPr>
      <w:r>
        <w:t>Expenditure verification</w:t>
      </w:r>
    </w:p>
    <w:p w14:paraId="370D64AA" w14:textId="704AAEC3" w:rsidR="006C36E6" w:rsidRDefault="006C36E6" w:rsidP="00E81AC0">
      <w:r>
        <w:t>July 2025</w:t>
      </w:r>
    </w:p>
    <w:p w14:paraId="7C1F5317" w14:textId="77777777" w:rsidR="006C36E6" w:rsidRDefault="006C36E6">
      <w:pPr>
        <w:spacing w:before="120" w:line="240" w:lineRule="atLeast"/>
      </w:pPr>
      <w:r>
        <w:br w:type="page"/>
      </w:r>
    </w:p>
    <w:p w14:paraId="49DF480F" w14:textId="77777777" w:rsidR="006C36E6" w:rsidRPr="002D272E" w:rsidRDefault="006C36E6" w:rsidP="006C36E6">
      <w:pPr>
        <w:spacing w:before="100" w:after="100" w:line="240" w:lineRule="auto"/>
        <w:rPr>
          <w:rFonts w:eastAsia="Arial" w:cs="Arial"/>
          <w:b/>
          <w:bCs/>
          <w:color w:val="000000" w:themeColor="text1"/>
          <w:sz w:val="22"/>
          <w:u w:val="single"/>
        </w:rPr>
      </w:pPr>
      <w:r w:rsidRPr="002D272E">
        <w:rPr>
          <w:rFonts w:eastAsia="Arial" w:cs="Arial"/>
          <w:b/>
          <w:bCs/>
          <w:color w:val="000000" w:themeColor="text1"/>
          <w:sz w:val="22"/>
          <w:u w:val="single"/>
        </w:rPr>
        <w:lastRenderedPageBreak/>
        <w:t>Background information</w:t>
      </w:r>
    </w:p>
    <w:p w14:paraId="15DC457D" w14:textId="77777777" w:rsidR="006C36E6" w:rsidRPr="002D272E" w:rsidRDefault="006C36E6" w:rsidP="006C36E6">
      <w:pPr>
        <w:spacing w:before="100" w:after="100" w:line="240" w:lineRule="auto"/>
        <w:jc w:val="both"/>
        <w:rPr>
          <w:rFonts w:eastAsia="Arial" w:cs="Arial"/>
          <w:color w:val="000000" w:themeColor="text1"/>
          <w:sz w:val="22"/>
        </w:rPr>
      </w:pPr>
      <w:r w:rsidRPr="002D272E">
        <w:rPr>
          <w:rFonts w:eastAsia="Arial" w:cs="Arial"/>
          <w:color w:val="000000" w:themeColor="text1"/>
          <w:sz w:val="22"/>
        </w:rPr>
        <w:t>These Terms of Reference (</w:t>
      </w:r>
      <w:proofErr w:type="spellStart"/>
      <w:r w:rsidRPr="002D272E">
        <w:rPr>
          <w:rFonts w:eastAsia="Arial" w:cs="Arial"/>
          <w:color w:val="000000" w:themeColor="text1"/>
          <w:sz w:val="22"/>
        </w:rPr>
        <w:t>ToR</w:t>
      </w:r>
      <w:proofErr w:type="spellEnd"/>
      <w:r w:rsidRPr="002D272E">
        <w:rPr>
          <w:rFonts w:eastAsia="Arial" w:cs="Arial"/>
          <w:color w:val="000000" w:themeColor="text1"/>
          <w:sz w:val="22"/>
        </w:rPr>
        <w:t xml:space="preserve">) provide a general framework for </w:t>
      </w:r>
      <w:r w:rsidRPr="00966A32">
        <w:rPr>
          <w:rFonts w:eastAsia="Arial" w:cs="Arial"/>
          <w:b/>
          <w:bCs/>
          <w:color w:val="000000" w:themeColor="text1"/>
          <w:sz w:val="22"/>
        </w:rPr>
        <w:t>expenditure verification assignments</w:t>
      </w:r>
      <w:r w:rsidRPr="002D272E">
        <w:rPr>
          <w:rFonts w:eastAsia="Arial" w:cs="Arial"/>
          <w:color w:val="000000" w:themeColor="text1"/>
          <w:sz w:val="22"/>
        </w:rPr>
        <w:t xml:space="preserve"> but should be tailored to each case’s specific needs and context for maximum relevance and effectiveness. Selecting an appropriate sample size is crucial for meaningful insights—it should reflect expenditure-related risks while considering data availability and internal controls.</w:t>
      </w:r>
    </w:p>
    <w:p w14:paraId="3E627E50" w14:textId="77777777" w:rsidR="006C36E6" w:rsidRDefault="006C36E6" w:rsidP="006C36E6">
      <w:pPr>
        <w:spacing w:before="100" w:after="100" w:line="240" w:lineRule="auto"/>
        <w:rPr>
          <w:rFonts w:eastAsia="Arial" w:cs="Arial"/>
          <w:b/>
          <w:bCs/>
          <w:color w:val="000000" w:themeColor="text1"/>
          <w:sz w:val="22"/>
          <w:u w:val="single"/>
        </w:rPr>
      </w:pPr>
    </w:p>
    <w:p w14:paraId="63949BDA" w14:textId="77777777" w:rsidR="006C36E6" w:rsidRPr="00A6139D" w:rsidRDefault="006C36E6" w:rsidP="006C36E6">
      <w:pPr>
        <w:spacing w:before="100" w:after="100" w:line="240" w:lineRule="auto"/>
        <w:rPr>
          <w:rFonts w:eastAsia="Arial" w:cs="Arial"/>
          <w:color w:val="000000" w:themeColor="text1"/>
          <w:sz w:val="22"/>
          <w:u w:val="single"/>
        </w:rPr>
      </w:pPr>
      <w:r w:rsidRPr="00A6139D">
        <w:rPr>
          <w:rFonts w:eastAsia="Arial" w:cs="Arial"/>
          <w:b/>
          <w:bCs/>
          <w:color w:val="000000" w:themeColor="text1"/>
          <w:sz w:val="22"/>
          <w:u w:val="single"/>
        </w:rPr>
        <w:t xml:space="preserve">Objective </w:t>
      </w:r>
    </w:p>
    <w:p w14:paraId="572BDD66" w14:textId="77777777" w:rsidR="006C36E6" w:rsidRPr="00AD65A4" w:rsidRDefault="006C36E6" w:rsidP="006C36E6">
      <w:pPr>
        <w:spacing w:before="100" w:after="100" w:line="240" w:lineRule="auto"/>
        <w:rPr>
          <w:rFonts w:eastAsia="Arial" w:cs="Arial"/>
          <w:color w:val="000000" w:themeColor="text1"/>
          <w:sz w:val="22"/>
        </w:rPr>
      </w:pPr>
      <w:r w:rsidRPr="00AD65A4">
        <w:rPr>
          <w:rFonts w:eastAsia="Arial" w:cs="Arial"/>
          <w:color w:val="000000" w:themeColor="text1"/>
          <w:sz w:val="22"/>
        </w:rPr>
        <w:t xml:space="preserve">The objective of this assignment is </w:t>
      </w:r>
      <w:r>
        <w:rPr>
          <w:rFonts w:eastAsia="Arial" w:cs="Arial"/>
          <w:color w:val="000000" w:themeColor="text1"/>
          <w:sz w:val="22"/>
        </w:rPr>
        <w:t xml:space="preserve">for the Assurance Provider </w:t>
      </w:r>
      <w:r w:rsidRPr="00AD65A4">
        <w:rPr>
          <w:rFonts w:eastAsia="Arial" w:cs="Arial"/>
          <w:color w:val="000000" w:themeColor="text1"/>
          <w:sz w:val="22"/>
        </w:rPr>
        <w:t>to:</w:t>
      </w:r>
    </w:p>
    <w:p w14:paraId="48D97EC7" w14:textId="04F0C7CA" w:rsidR="006C36E6" w:rsidRDefault="006C36E6" w:rsidP="006C36E6">
      <w:pPr>
        <w:numPr>
          <w:ilvl w:val="0"/>
          <w:numId w:val="33"/>
        </w:numPr>
        <w:spacing w:before="100" w:after="100" w:line="240" w:lineRule="auto"/>
        <w:rPr>
          <w:rFonts w:eastAsia="Arial" w:cs="Arial"/>
          <w:color w:val="000000" w:themeColor="text1"/>
          <w:sz w:val="22"/>
        </w:rPr>
      </w:pPr>
      <w:r w:rsidRPr="00887E2A">
        <w:rPr>
          <w:rFonts w:eastAsia="Arial" w:cs="Arial"/>
          <w:b/>
          <w:bCs/>
          <w:color w:val="000000" w:themeColor="text1"/>
          <w:sz w:val="22"/>
        </w:rPr>
        <w:t>Conduct detailed expenditure</w:t>
      </w:r>
      <w:r w:rsidRPr="12F55DBE">
        <w:rPr>
          <w:rFonts w:eastAsia="Arial" w:cs="Arial"/>
          <w:color w:val="000000" w:themeColor="text1"/>
          <w:sz w:val="22"/>
        </w:rPr>
        <w:t xml:space="preserve"> testing to ensure its validity, assessing accuracy, completeness, occurrence, cut-off, and valuation. Expenses must comply with the terms of the grant agreement (including budget provisions and </w:t>
      </w:r>
      <w:hyperlink r:id="rId13" w:history="1">
        <w:r w:rsidRPr="12F55DBE">
          <w:rPr>
            <w:rStyle w:val="Hyperlink"/>
            <w:rFonts w:eastAsia="Arial" w:cs="Arial"/>
            <w:sz w:val="22"/>
          </w:rPr>
          <w:t>TGF budgeting guidelines</w:t>
        </w:r>
      </w:hyperlink>
      <w:r w:rsidRPr="12F55DBE">
        <w:rPr>
          <w:rFonts w:eastAsia="Arial" w:cs="Arial"/>
          <w:color w:val="000000" w:themeColor="text1"/>
          <w:sz w:val="22"/>
        </w:rPr>
        <w:t>), and the implementer’s financial and procurement regulations, policies, and procedures, aligning with best practices.</w:t>
      </w:r>
    </w:p>
    <w:p w14:paraId="5AE16146" w14:textId="77777777" w:rsidR="006C36E6" w:rsidRDefault="006C36E6" w:rsidP="006C36E6">
      <w:pPr>
        <w:spacing w:before="100" w:after="100" w:line="240" w:lineRule="auto"/>
        <w:ind w:left="360"/>
        <w:rPr>
          <w:rFonts w:eastAsia="Arial" w:cs="Arial"/>
          <w:color w:val="000000" w:themeColor="text1"/>
          <w:sz w:val="22"/>
        </w:rPr>
      </w:pPr>
    </w:p>
    <w:p w14:paraId="135D9120" w14:textId="10DB6E26" w:rsidR="006C36E6" w:rsidRDefault="006C36E6" w:rsidP="006C36E6">
      <w:pPr>
        <w:numPr>
          <w:ilvl w:val="0"/>
          <w:numId w:val="33"/>
        </w:numPr>
        <w:spacing w:before="100" w:after="100" w:line="240" w:lineRule="auto"/>
        <w:rPr>
          <w:rFonts w:eastAsia="Arial" w:cs="Arial"/>
          <w:color w:val="000000" w:themeColor="text1"/>
          <w:sz w:val="22"/>
        </w:rPr>
      </w:pPr>
      <w:r w:rsidRPr="00A94AD5">
        <w:rPr>
          <w:rFonts w:eastAsia="Arial" w:cs="Arial"/>
          <w:color w:val="000000" w:themeColor="text1"/>
          <w:sz w:val="22"/>
        </w:rPr>
        <w:t>Verify that the implementer has designed and effectively operates a system to monitor expenditure reporting and documentation in compliance with the Grant Regulations and the relevant Grant Agreement (</w:t>
      </w:r>
      <w:hyperlink r:id="rId14" w:history="1">
        <w:r w:rsidRPr="00A94AD5">
          <w:rPr>
            <w:rStyle w:val="Hyperlink"/>
            <w:rFonts w:eastAsia="Arial" w:cs="Arial"/>
            <w:sz w:val="22"/>
          </w:rPr>
          <w:t>Grant Regulations</w:t>
        </w:r>
      </w:hyperlink>
      <w:r w:rsidRPr="00A94AD5">
        <w:rPr>
          <w:rFonts w:eastAsia="Arial" w:cs="Arial"/>
          <w:color w:val="000000" w:themeColor="text1"/>
          <w:sz w:val="22"/>
        </w:rPr>
        <w:t>).</w:t>
      </w:r>
    </w:p>
    <w:p w14:paraId="0795322C" w14:textId="77777777" w:rsidR="006C36E6" w:rsidRDefault="006C36E6" w:rsidP="006C36E6">
      <w:pPr>
        <w:pStyle w:val="ListParagraph"/>
        <w:spacing w:before="100" w:after="100" w:line="240" w:lineRule="auto"/>
        <w:rPr>
          <w:rFonts w:eastAsia="Arial" w:cs="Arial"/>
          <w:color w:val="000000" w:themeColor="text1"/>
          <w:sz w:val="22"/>
        </w:rPr>
      </w:pPr>
    </w:p>
    <w:p w14:paraId="01B288A5" w14:textId="77777777" w:rsidR="006C36E6" w:rsidRDefault="006C36E6" w:rsidP="006C36E6">
      <w:pPr>
        <w:numPr>
          <w:ilvl w:val="0"/>
          <w:numId w:val="33"/>
        </w:numPr>
        <w:spacing w:before="100" w:after="100" w:line="240" w:lineRule="auto"/>
        <w:rPr>
          <w:rFonts w:eastAsia="Arial" w:cs="Arial"/>
          <w:color w:val="000000" w:themeColor="text1"/>
          <w:sz w:val="22"/>
        </w:rPr>
      </w:pPr>
      <w:r w:rsidRPr="00A94AD5">
        <w:rPr>
          <w:rFonts w:eastAsia="Arial" w:cs="Arial"/>
          <w:b/>
          <w:bCs/>
          <w:color w:val="000000" w:themeColor="text1"/>
          <w:sz w:val="22"/>
        </w:rPr>
        <w:t>Test effectiveness</w:t>
      </w:r>
      <w:r w:rsidRPr="00A94AD5">
        <w:rPr>
          <w:rFonts w:eastAsia="Arial" w:cs="Arial"/>
          <w:color w:val="000000" w:themeColor="text1"/>
          <w:sz w:val="22"/>
        </w:rPr>
        <w:t xml:space="preserve"> of procedures and controls in place and that they are applied and aligned with the objectives throughout the assignment period.</w:t>
      </w:r>
    </w:p>
    <w:p w14:paraId="3930E06F" w14:textId="77777777" w:rsidR="006C36E6" w:rsidRPr="00446C99" w:rsidRDefault="006C36E6" w:rsidP="006C36E6">
      <w:pPr>
        <w:spacing w:before="100" w:after="100" w:line="240" w:lineRule="auto"/>
        <w:ind w:left="360"/>
        <w:rPr>
          <w:rFonts w:eastAsia="Arial" w:cs="Arial"/>
          <w:color w:val="000000" w:themeColor="text1"/>
          <w:sz w:val="22"/>
        </w:rPr>
      </w:pPr>
    </w:p>
    <w:p w14:paraId="231EC889" w14:textId="77777777" w:rsidR="006C36E6" w:rsidRPr="00847270" w:rsidRDefault="006C36E6" w:rsidP="006C36E6">
      <w:pPr>
        <w:numPr>
          <w:ilvl w:val="0"/>
          <w:numId w:val="33"/>
        </w:numPr>
        <w:spacing w:before="100" w:after="100" w:line="240" w:lineRule="auto"/>
        <w:rPr>
          <w:rFonts w:eastAsia="Arial" w:cs="Arial"/>
          <w:color w:val="000000" w:themeColor="text1"/>
          <w:sz w:val="22"/>
        </w:rPr>
      </w:pPr>
      <w:r w:rsidRPr="00AD65A4">
        <w:rPr>
          <w:rFonts w:eastAsia="Arial" w:cs="Arial"/>
          <w:b/>
          <w:bCs/>
          <w:color w:val="000000" w:themeColor="text1"/>
          <w:sz w:val="22"/>
        </w:rPr>
        <w:t>Provide actionable recommendations</w:t>
      </w:r>
      <w:r w:rsidRPr="00AD65A4">
        <w:rPr>
          <w:rFonts w:eastAsia="Arial" w:cs="Arial"/>
          <w:color w:val="000000" w:themeColor="text1"/>
          <w:sz w:val="22"/>
        </w:rPr>
        <w:t xml:space="preserve"> on </w:t>
      </w:r>
      <w:r w:rsidRPr="00847270">
        <w:rPr>
          <w:rFonts w:eastAsia="Arial" w:cs="Arial"/>
          <w:color w:val="000000" w:themeColor="text1"/>
          <w:sz w:val="22"/>
        </w:rPr>
        <w:t xml:space="preserve">1) statement on eligibility of expenditures; </w:t>
      </w:r>
      <w:r>
        <w:rPr>
          <w:rFonts w:eastAsia="Arial" w:cs="Arial"/>
          <w:color w:val="000000" w:themeColor="text1"/>
          <w:sz w:val="22"/>
        </w:rPr>
        <w:t xml:space="preserve">provide details on identified ineligible expenses   </w:t>
      </w:r>
      <w:r w:rsidRPr="00847270">
        <w:rPr>
          <w:rFonts w:eastAsia="Arial" w:cs="Arial"/>
          <w:color w:val="000000" w:themeColor="text1"/>
          <w:sz w:val="22"/>
        </w:rPr>
        <w:t>2) the control</w:t>
      </w:r>
      <w:r>
        <w:rPr>
          <w:rFonts w:eastAsia="Arial" w:cs="Arial"/>
          <w:color w:val="000000" w:themeColor="text1"/>
          <w:sz w:val="22"/>
        </w:rPr>
        <w:t>s</w:t>
      </w:r>
      <w:r w:rsidRPr="00847270">
        <w:rPr>
          <w:rFonts w:eastAsia="Arial" w:cs="Arial"/>
          <w:color w:val="000000" w:themeColor="text1"/>
          <w:sz w:val="22"/>
        </w:rPr>
        <w:t xml:space="preserve"> design and effectiveness over management of expenditure</w:t>
      </w:r>
      <w:r>
        <w:rPr>
          <w:rFonts w:eastAsia="Arial" w:cs="Arial"/>
          <w:color w:val="000000" w:themeColor="text1"/>
          <w:sz w:val="22"/>
        </w:rPr>
        <w:t>s.</w:t>
      </w:r>
      <w:r w:rsidRPr="00847270">
        <w:rPr>
          <w:rFonts w:eastAsia="Arial" w:cs="Arial"/>
          <w:color w:val="000000" w:themeColor="text1"/>
          <w:sz w:val="22"/>
        </w:rPr>
        <w:t xml:space="preserve"> Findings should be classified by severity, with suggested timelines for implementation where possible</w:t>
      </w:r>
      <w:r>
        <w:rPr>
          <w:rFonts w:eastAsia="Arial" w:cs="Arial"/>
          <w:color w:val="000000" w:themeColor="text1"/>
          <w:sz w:val="22"/>
        </w:rPr>
        <w:t>.</w:t>
      </w:r>
      <w:r w:rsidRPr="00847270">
        <w:rPr>
          <w:rFonts w:eastAsia="Arial" w:cs="Arial"/>
          <w:color w:val="000000" w:themeColor="text1"/>
          <w:sz w:val="22"/>
        </w:rPr>
        <w:t xml:space="preserve"> </w:t>
      </w:r>
    </w:p>
    <w:p w14:paraId="6F0001D0" w14:textId="77777777" w:rsidR="006C36E6" w:rsidRDefault="006C36E6" w:rsidP="006C36E6">
      <w:pPr>
        <w:spacing w:before="100" w:after="100" w:line="240" w:lineRule="auto"/>
        <w:jc w:val="both"/>
        <w:rPr>
          <w:rFonts w:eastAsia="Arial" w:cs="Arial"/>
          <w:color w:val="000000" w:themeColor="text1"/>
          <w:sz w:val="22"/>
        </w:rPr>
      </w:pPr>
    </w:p>
    <w:p w14:paraId="6E5284CB" w14:textId="77777777" w:rsidR="006C36E6" w:rsidRDefault="006C36E6" w:rsidP="006C36E6">
      <w:pPr>
        <w:spacing w:before="100" w:after="100" w:line="240" w:lineRule="auto"/>
        <w:jc w:val="both"/>
        <w:rPr>
          <w:rFonts w:eastAsia="Arial" w:cs="Arial"/>
          <w:color w:val="000000" w:themeColor="text1"/>
          <w:sz w:val="22"/>
        </w:rPr>
      </w:pPr>
      <w:r w:rsidRPr="00BA4236">
        <w:rPr>
          <w:rFonts w:eastAsia="Arial" w:cs="Arial"/>
          <w:color w:val="000000" w:themeColor="text1"/>
          <w:sz w:val="22"/>
        </w:rPr>
        <w:t xml:space="preserve">The Assurance provider should identify and report any amounts deemed non-compliant </w:t>
      </w:r>
      <w:proofErr w:type="gramStart"/>
      <w:r w:rsidRPr="00BA4236">
        <w:rPr>
          <w:rFonts w:eastAsia="Arial" w:cs="Arial"/>
          <w:color w:val="000000" w:themeColor="text1"/>
          <w:sz w:val="22"/>
        </w:rPr>
        <w:t>as a result of</w:t>
      </w:r>
      <w:proofErr w:type="gramEnd"/>
      <w:r w:rsidRPr="00BA4236">
        <w:rPr>
          <w:rFonts w:eastAsia="Arial" w:cs="Arial"/>
          <w:color w:val="000000" w:themeColor="text1"/>
          <w:sz w:val="22"/>
        </w:rPr>
        <w:t xml:space="preserve"> the procedures performed. The non-compliant expenditures should be classified as either:</w:t>
      </w:r>
    </w:p>
    <w:p w14:paraId="6EBD3FE0" w14:textId="77777777" w:rsidR="006C36E6" w:rsidRDefault="006C36E6" w:rsidP="006C36E6">
      <w:pPr>
        <w:pStyle w:val="ListParagraph"/>
        <w:numPr>
          <w:ilvl w:val="0"/>
          <w:numId w:val="32"/>
        </w:numPr>
        <w:spacing w:before="100" w:after="100" w:line="240" w:lineRule="auto"/>
        <w:jc w:val="both"/>
        <w:rPr>
          <w:rFonts w:eastAsia="Arial" w:cs="Arial"/>
          <w:color w:val="000000" w:themeColor="text1"/>
          <w:sz w:val="22"/>
        </w:rPr>
      </w:pPr>
      <w:r w:rsidRPr="12F55DBE">
        <w:rPr>
          <w:rFonts w:eastAsia="Arial" w:cs="Arial"/>
          <w:b/>
          <w:bCs/>
          <w:color w:val="000000" w:themeColor="text1"/>
          <w:sz w:val="22"/>
        </w:rPr>
        <w:t>Unsupported</w:t>
      </w:r>
      <w:r w:rsidRPr="12F55DBE">
        <w:rPr>
          <w:rFonts w:eastAsia="Arial" w:cs="Arial"/>
          <w:color w:val="000000" w:themeColor="text1"/>
          <w:sz w:val="22"/>
        </w:rPr>
        <w:t>- includes expenditure for which all or part of the documentation or approvals required under applicable rules (e.g., the implementers’ procedures, generally accepted accounting principles, national procurement regulations, etc.) were not provided during the review by the assurance provider</w:t>
      </w:r>
      <w:r>
        <w:rPr>
          <w:rFonts w:eastAsia="Arial" w:cs="Arial"/>
          <w:color w:val="000000" w:themeColor="text1"/>
          <w:sz w:val="22"/>
        </w:rPr>
        <w:t>.</w:t>
      </w:r>
    </w:p>
    <w:p w14:paraId="6D487660" w14:textId="77777777" w:rsidR="006C36E6" w:rsidRDefault="006C36E6" w:rsidP="006C36E6">
      <w:pPr>
        <w:pStyle w:val="ListParagraph"/>
        <w:spacing w:before="100" w:after="100" w:line="240" w:lineRule="auto"/>
        <w:ind w:left="360"/>
        <w:jc w:val="both"/>
        <w:rPr>
          <w:rFonts w:eastAsia="Arial" w:cs="Arial"/>
          <w:color w:val="000000" w:themeColor="text1"/>
          <w:sz w:val="22"/>
        </w:rPr>
      </w:pPr>
    </w:p>
    <w:p w14:paraId="0FF22069" w14:textId="77777777" w:rsidR="006C36E6" w:rsidRDefault="006C36E6" w:rsidP="006C36E6">
      <w:pPr>
        <w:pStyle w:val="ListParagraph"/>
        <w:numPr>
          <w:ilvl w:val="0"/>
          <w:numId w:val="32"/>
        </w:numPr>
        <w:spacing w:before="100" w:after="100" w:line="240" w:lineRule="auto"/>
        <w:jc w:val="both"/>
        <w:rPr>
          <w:rFonts w:eastAsia="Arial" w:cs="Arial"/>
          <w:color w:val="000000" w:themeColor="text1"/>
          <w:sz w:val="22"/>
        </w:rPr>
      </w:pPr>
      <w:r w:rsidRPr="12F55DBE">
        <w:rPr>
          <w:rFonts w:eastAsia="Arial" w:cs="Arial"/>
          <w:b/>
          <w:bCs/>
          <w:color w:val="000000" w:themeColor="text1"/>
          <w:sz w:val="22"/>
        </w:rPr>
        <w:t>Expenditure incurred outside the scope</w:t>
      </w:r>
      <w:r w:rsidRPr="12F55DBE">
        <w:rPr>
          <w:rFonts w:eastAsia="Arial" w:cs="Arial"/>
          <w:color w:val="000000" w:themeColor="text1"/>
          <w:sz w:val="22"/>
        </w:rPr>
        <w:t xml:space="preserve">- includes expenditure incurred outside the Implementation Period (IP) or closure period, not approved in the budget during grant making/revision or by TGF in writing during grant implementation period/during IP Closure or reconciliation, expenditure exceeding the approved budget and expenditure in breach of grant agreements and flexibilities allowed as per the Global Fund Guidelines for Budgeting. </w:t>
      </w:r>
    </w:p>
    <w:p w14:paraId="56D22666" w14:textId="77777777" w:rsidR="006C36E6" w:rsidRDefault="006C36E6" w:rsidP="006C36E6">
      <w:pPr>
        <w:pStyle w:val="ListParagraph"/>
        <w:spacing w:before="100" w:after="100" w:line="240" w:lineRule="auto"/>
        <w:ind w:left="360"/>
        <w:jc w:val="both"/>
        <w:rPr>
          <w:rFonts w:eastAsia="Arial" w:cs="Arial"/>
          <w:color w:val="000000" w:themeColor="text1"/>
          <w:sz w:val="22"/>
        </w:rPr>
      </w:pPr>
    </w:p>
    <w:p w14:paraId="5717F11E" w14:textId="265D131D" w:rsidR="006C36E6" w:rsidRDefault="006C36E6" w:rsidP="006C36E6">
      <w:pPr>
        <w:pStyle w:val="ListParagraph"/>
        <w:numPr>
          <w:ilvl w:val="0"/>
          <w:numId w:val="32"/>
        </w:numPr>
        <w:spacing w:before="100" w:after="100" w:line="240" w:lineRule="auto"/>
        <w:jc w:val="both"/>
        <w:rPr>
          <w:rFonts w:eastAsia="Arial" w:cs="Arial"/>
          <w:color w:val="000000" w:themeColor="text1"/>
          <w:sz w:val="22"/>
        </w:rPr>
      </w:pPr>
      <w:r w:rsidRPr="6D9F24A9">
        <w:rPr>
          <w:rFonts w:eastAsia="Arial" w:cs="Arial"/>
          <w:b/>
          <w:bCs/>
          <w:color w:val="000000" w:themeColor="text1"/>
          <w:sz w:val="22"/>
        </w:rPr>
        <w:t>Expenditures compromised by prohibited practices</w:t>
      </w:r>
      <w:r w:rsidRPr="6D9F24A9">
        <w:rPr>
          <w:rFonts w:eastAsia="Arial" w:cs="Arial"/>
          <w:color w:val="000000" w:themeColor="text1"/>
          <w:sz w:val="22"/>
        </w:rPr>
        <w:t xml:space="preserve"> – includes </w:t>
      </w:r>
      <w:r>
        <w:rPr>
          <w:rFonts w:eastAsia="Arial" w:cs="Arial"/>
          <w:color w:val="000000" w:themeColor="text1"/>
          <w:sz w:val="22"/>
        </w:rPr>
        <w:t>a</w:t>
      </w:r>
      <w:r w:rsidRPr="6D9F24A9">
        <w:rPr>
          <w:rFonts w:eastAsia="Arial" w:cs="Arial"/>
          <w:color w:val="000000" w:themeColor="text1"/>
          <w:sz w:val="22"/>
        </w:rPr>
        <w:t xml:space="preserve">n undisclosed or unmitigated conflict of interest, </w:t>
      </w:r>
      <w:r>
        <w:rPr>
          <w:rFonts w:eastAsia="Arial" w:cs="Arial"/>
          <w:color w:val="000000" w:themeColor="text1"/>
          <w:sz w:val="22"/>
        </w:rPr>
        <w:t>f</w:t>
      </w:r>
      <w:r w:rsidRPr="6D9F24A9">
        <w:rPr>
          <w:rFonts w:eastAsia="Arial" w:cs="Arial"/>
          <w:color w:val="000000" w:themeColor="text1"/>
          <w:sz w:val="22"/>
        </w:rPr>
        <w:t xml:space="preserve">alsified or fabricated documents, </w:t>
      </w:r>
      <w:r>
        <w:rPr>
          <w:rFonts w:eastAsia="Arial" w:cs="Arial"/>
          <w:color w:val="000000" w:themeColor="text1"/>
          <w:sz w:val="22"/>
        </w:rPr>
        <w:t>e</w:t>
      </w:r>
      <w:r w:rsidRPr="6D9F24A9">
        <w:rPr>
          <w:rFonts w:eastAsia="Arial" w:cs="Arial"/>
          <w:color w:val="000000" w:themeColor="text1"/>
          <w:sz w:val="22"/>
        </w:rPr>
        <w:t>xpenditures compromised by prohibited behavior such as corruption, fraudulent activities, coercive practices e.g</w:t>
      </w:r>
      <w:r>
        <w:rPr>
          <w:rFonts w:eastAsia="Arial" w:cs="Arial"/>
          <w:color w:val="000000" w:themeColor="text1"/>
          <w:sz w:val="22"/>
        </w:rPr>
        <w:t>.</w:t>
      </w:r>
      <w:r w:rsidRPr="6D9F24A9">
        <w:rPr>
          <w:rFonts w:eastAsia="Arial" w:cs="Arial"/>
          <w:color w:val="000000" w:themeColor="text1"/>
          <w:sz w:val="22"/>
        </w:rPr>
        <w:t xml:space="preserve"> sexual exploitation, abuse and harassment, collusive, abusive, obstructive; also, retaliation, money laundering, asset substitution/payment without delivery and financing of terrorism as defined in </w:t>
      </w:r>
      <w:hyperlink r:id="rId15" w:history="1">
        <w:r w:rsidRPr="00887E2A">
          <w:rPr>
            <w:rStyle w:val="Hyperlink"/>
            <w:rFonts w:eastAsia="Arial" w:cs="Arial"/>
            <w:sz w:val="22"/>
          </w:rPr>
          <w:t xml:space="preserve">the </w:t>
        </w:r>
        <w:r w:rsidR="00887E2A" w:rsidRPr="00887E2A">
          <w:rPr>
            <w:rStyle w:val="Hyperlink"/>
            <w:rFonts w:eastAsia="Arial" w:cs="Arial"/>
            <w:sz w:val="22"/>
          </w:rPr>
          <w:t>Global Fund Policy to Combat Fraud and Corruption</w:t>
        </w:r>
      </w:hyperlink>
      <w:r w:rsidR="00887E2A">
        <w:rPr>
          <w:rFonts w:eastAsia="Arial" w:cs="Arial"/>
          <w:color w:val="000000" w:themeColor="text1"/>
          <w:sz w:val="22"/>
        </w:rPr>
        <w:t>, no</w:t>
      </w:r>
      <w:r>
        <w:rPr>
          <w:rFonts w:eastAsia="Arial" w:cs="Arial"/>
          <w:color w:val="000000" w:themeColor="text1"/>
          <w:sz w:val="22"/>
        </w:rPr>
        <w:t>n</w:t>
      </w:r>
      <w:r w:rsidRPr="6D9F24A9">
        <w:rPr>
          <w:rFonts w:eastAsia="Arial" w:cs="Arial"/>
          <w:color w:val="000000" w:themeColor="text1"/>
          <w:sz w:val="22"/>
        </w:rPr>
        <w:t xml:space="preserve">-competitive tenders/collusion/inappropriate facilitation payments, </w:t>
      </w:r>
      <w:r>
        <w:rPr>
          <w:rFonts w:eastAsia="Arial" w:cs="Arial"/>
          <w:color w:val="000000" w:themeColor="text1"/>
          <w:sz w:val="22"/>
        </w:rPr>
        <w:t>p</w:t>
      </w:r>
      <w:r w:rsidRPr="6D9F24A9">
        <w:rPr>
          <w:rFonts w:eastAsia="Arial" w:cs="Arial"/>
          <w:color w:val="000000" w:themeColor="text1"/>
          <w:sz w:val="22"/>
        </w:rPr>
        <w:t xml:space="preserve">artial or total diversion of assets to non-Program uses, </w:t>
      </w:r>
      <w:r>
        <w:rPr>
          <w:rFonts w:eastAsia="Arial" w:cs="Arial"/>
          <w:color w:val="000000" w:themeColor="text1"/>
          <w:sz w:val="22"/>
        </w:rPr>
        <w:t>w</w:t>
      </w:r>
      <w:r w:rsidRPr="6D9F24A9">
        <w:rPr>
          <w:rFonts w:eastAsia="Arial" w:cs="Arial"/>
          <w:color w:val="000000" w:themeColor="text1"/>
          <w:sz w:val="22"/>
        </w:rPr>
        <w:t>aste and spoilage.</w:t>
      </w:r>
    </w:p>
    <w:p w14:paraId="4C89F27A" w14:textId="77777777" w:rsidR="006C36E6" w:rsidRDefault="006C36E6" w:rsidP="006C36E6">
      <w:pPr>
        <w:pStyle w:val="ListParagraph"/>
        <w:spacing w:before="100" w:after="100" w:line="240" w:lineRule="auto"/>
        <w:ind w:left="360"/>
        <w:jc w:val="both"/>
        <w:rPr>
          <w:rFonts w:eastAsia="Arial" w:cs="Arial"/>
          <w:color w:val="000000" w:themeColor="text1"/>
          <w:sz w:val="22"/>
        </w:rPr>
      </w:pPr>
    </w:p>
    <w:p w14:paraId="6327FF58" w14:textId="77777777" w:rsidR="006C36E6" w:rsidRDefault="006C36E6" w:rsidP="006C36E6">
      <w:pPr>
        <w:pStyle w:val="ListParagraph"/>
        <w:numPr>
          <w:ilvl w:val="0"/>
          <w:numId w:val="32"/>
        </w:numPr>
        <w:spacing w:before="100" w:after="100" w:line="240" w:lineRule="auto"/>
        <w:jc w:val="both"/>
        <w:rPr>
          <w:rFonts w:eastAsia="Arial" w:cs="Arial"/>
          <w:color w:val="000000" w:themeColor="text1"/>
          <w:sz w:val="22"/>
        </w:rPr>
      </w:pPr>
      <w:r w:rsidRPr="6D9F24A9">
        <w:rPr>
          <w:rFonts w:eastAsia="Arial" w:cs="Arial"/>
          <w:b/>
          <w:bCs/>
          <w:color w:val="000000" w:themeColor="text1"/>
          <w:sz w:val="22"/>
        </w:rPr>
        <w:t>Other types of non-compliance and mismanagement of Grant</w:t>
      </w:r>
      <w:r w:rsidRPr="6D9F24A9">
        <w:rPr>
          <w:rFonts w:eastAsia="Arial" w:cs="Arial"/>
          <w:color w:val="000000" w:themeColor="text1"/>
          <w:sz w:val="22"/>
        </w:rPr>
        <w:t xml:space="preserve"> </w:t>
      </w:r>
      <w:r w:rsidRPr="6D9F24A9">
        <w:rPr>
          <w:rFonts w:eastAsia="Arial" w:cs="Arial"/>
          <w:b/>
          <w:bCs/>
          <w:color w:val="000000" w:themeColor="text1"/>
          <w:sz w:val="22"/>
        </w:rPr>
        <w:t>Funds</w:t>
      </w:r>
      <w:r w:rsidRPr="6D9F24A9">
        <w:rPr>
          <w:rFonts w:eastAsia="Arial" w:cs="Arial"/>
          <w:color w:val="000000" w:themeColor="text1"/>
          <w:sz w:val="22"/>
        </w:rPr>
        <w:t xml:space="preserve"> – includes </w:t>
      </w:r>
      <w:r>
        <w:rPr>
          <w:rFonts w:eastAsia="Arial" w:cs="Arial"/>
          <w:color w:val="000000" w:themeColor="text1"/>
          <w:sz w:val="22"/>
        </w:rPr>
        <w:t>n</w:t>
      </w:r>
      <w:r w:rsidRPr="6D9F24A9">
        <w:rPr>
          <w:rFonts w:eastAsia="Arial" w:cs="Arial"/>
          <w:color w:val="000000" w:themeColor="text1"/>
          <w:sz w:val="22"/>
        </w:rPr>
        <w:t xml:space="preserve">on-compliant taxes, </w:t>
      </w:r>
      <w:r>
        <w:rPr>
          <w:rFonts w:eastAsia="Arial" w:cs="Arial"/>
          <w:color w:val="000000" w:themeColor="text1"/>
          <w:sz w:val="22"/>
        </w:rPr>
        <w:t>e</w:t>
      </w:r>
      <w:r w:rsidRPr="6D9F24A9">
        <w:rPr>
          <w:rFonts w:eastAsia="Arial" w:cs="Arial"/>
          <w:color w:val="000000" w:themeColor="text1"/>
          <w:sz w:val="22"/>
        </w:rPr>
        <w:t xml:space="preserve">xpiration or spoilage, </w:t>
      </w:r>
      <w:r>
        <w:rPr>
          <w:rFonts w:eastAsia="Arial" w:cs="Arial"/>
          <w:color w:val="000000" w:themeColor="text1"/>
          <w:sz w:val="22"/>
        </w:rPr>
        <w:t>c</w:t>
      </w:r>
      <w:r w:rsidRPr="6D9F24A9">
        <w:rPr>
          <w:rFonts w:eastAsia="Arial" w:cs="Arial"/>
          <w:color w:val="000000" w:themeColor="text1"/>
          <w:sz w:val="22"/>
        </w:rPr>
        <w:t xml:space="preserve">ancellation costs </w:t>
      </w:r>
      <w:r>
        <w:rPr>
          <w:rFonts w:eastAsia="Arial" w:cs="Arial"/>
          <w:color w:val="000000" w:themeColor="text1"/>
          <w:sz w:val="22"/>
        </w:rPr>
        <w:t xml:space="preserve">for </w:t>
      </w:r>
      <w:r w:rsidRPr="6D9F24A9">
        <w:rPr>
          <w:rFonts w:eastAsia="Arial" w:cs="Arial"/>
          <w:color w:val="000000" w:themeColor="text1"/>
          <w:sz w:val="22"/>
        </w:rPr>
        <w:t>which prior written approval f</w:t>
      </w:r>
      <w:r>
        <w:rPr>
          <w:rFonts w:eastAsia="Arial" w:cs="Arial"/>
          <w:color w:val="000000" w:themeColor="text1"/>
          <w:sz w:val="22"/>
        </w:rPr>
        <w:t>r</w:t>
      </w:r>
      <w:r w:rsidRPr="6D9F24A9">
        <w:rPr>
          <w:rFonts w:eastAsia="Arial" w:cs="Arial"/>
          <w:color w:val="000000" w:themeColor="text1"/>
          <w:sz w:val="22"/>
        </w:rPr>
        <w:t xml:space="preserve">om TGF has not been obtained, </w:t>
      </w:r>
      <w:r>
        <w:rPr>
          <w:rFonts w:eastAsia="Arial" w:cs="Arial"/>
          <w:color w:val="000000" w:themeColor="text1"/>
          <w:sz w:val="22"/>
        </w:rPr>
        <w:t>p</w:t>
      </w:r>
      <w:r w:rsidRPr="6D9F24A9">
        <w:rPr>
          <w:rFonts w:eastAsia="Arial" w:cs="Arial"/>
          <w:color w:val="000000" w:themeColor="text1"/>
          <w:sz w:val="22"/>
        </w:rPr>
        <w:t xml:space="preserve">rocurement irregularities, </w:t>
      </w:r>
      <w:r>
        <w:rPr>
          <w:rFonts w:eastAsia="Arial" w:cs="Arial"/>
          <w:color w:val="000000" w:themeColor="text1"/>
          <w:sz w:val="22"/>
        </w:rPr>
        <w:t>i</w:t>
      </w:r>
      <w:r w:rsidRPr="6D9F24A9">
        <w:rPr>
          <w:rFonts w:eastAsia="Arial" w:cs="Arial"/>
          <w:color w:val="000000" w:themeColor="text1"/>
          <w:sz w:val="22"/>
        </w:rPr>
        <w:t xml:space="preserve">nadequate contracting practice, </w:t>
      </w:r>
      <w:r>
        <w:rPr>
          <w:rFonts w:eastAsia="Arial" w:cs="Arial"/>
          <w:color w:val="000000" w:themeColor="text1"/>
          <w:sz w:val="22"/>
        </w:rPr>
        <w:t>n</w:t>
      </w:r>
      <w:r w:rsidRPr="6D9F24A9">
        <w:rPr>
          <w:rFonts w:eastAsia="Arial" w:cs="Arial"/>
          <w:color w:val="000000" w:themeColor="text1"/>
          <w:sz w:val="22"/>
        </w:rPr>
        <w:t>on-</w:t>
      </w:r>
      <w:r w:rsidRPr="6D9F24A9">
        <w:rPr>
          <w:rFonts w:eastAsia="Arial" w:cs="Arial"/>
          <w:color w:val="000000" w:themeColor="text1"/>
          <w:sz w:val="22"/>
        </w:rPr>
        <w:lastRenderedPageBreak/>
        <w:t xml:space="preserve">compliance with quality assurance for health products and non-health products, and related issues, </w:t>
      </w:r>
      <w:r>
        <w:rPr>
          <w:rFonts w:eastAsia="Arial" w:cs="Arial"/>
          <w:color w:val="000000" w:themeColor="text1"/>
          <w:sz w:val="22"/>
        </w:rPr>
        <w:t>f</w:t>
      </w:r>
      <w:r w:rsidRPr="6D9F24A9">
        <w:rPr>
          <w:rFonts w:eastAsia="Arial" w:cs="Arial"/>
          <w:color w:val="000000" w:themeColor="text1"/>
          <w:sz w:val="22"/>
        </w:rPr>
        <w:t xml:space="preserve">ailure to replace lost, </w:t>
      </w:r>
      <w:r>
        <w:rPr>
          <w:rFonts w:eastAsia="Arial" w:cs="Arial"/>
          <w:color w:val="000000" w:themeColor="text1"/>
          <w:sz w:val="22"/>
        </w:rPr>
        <w:t>n</w:t>
      </w:r>
      <w:r w:rsidRPr="6D9F24A9">
        <w:rPr>
          <w:rFonts w:eastAsia="Arial" w:cs="Arial"/>
          <w:color w:val="000000" w:themeColor="text1"/>
          <w:sz w:val="22"/>
        </w:rPr>
        <w:t>on-compliant SR agreements</w:t>
      </w:r>
      <w:r>
        <w:rPr>
          <w:rFonts w:eastAsia="Arial" w:cs="Arial"/>
          <w:color w:val="000000" w:themeColor="text1"/>
          <w:sz w:val="22"/>
        </w:rPr>
        <w:t>.</w:t>
      </w:r>
      <w:r w:rsidRPr="6D9F24A9">
        <w:rPr>
          <w:rFonts w:eastAsia="Arial" w:cs="Arial"/>
          <w:color w:val="000000" w:themeColor="text1"/>
          <w:sz w:val="22"/>
        </w:rPr>
        <w:t xml:space="preserve"> Audit reports: audit report missing, falsified or not submitted in time or where the selection of the audit firm was compromised</w:t>
      </w:r>
      <w:r>
        <w:rPr>
          <w:rFonts w:eastAsia="Arial" w:cs="Arial"/>
          <w:color w:val="000000" w:themeColor="text1"/>
          <w:sz w:val="22"/>
        </w:rPr>
        <w:t>.</w:t>
      </w:r>
      <w:r w:rsidRPr="6D9F24A9">
        <w:rPr>
          <w:rFonts w:eastAsia="Arial" w:cs="Arial"/>
          <w:color w:val="000000" w:themeColor="text1"/>
          <w:sz w:val="22"/>
        </w:rPr>
        <w:t xml:space="preserve"> Amounts impermissibly retained under the terms of the grant agreement and </w:t>
      </w:r>
      <w:r>
        <w:rPr>
          <w:rFonts w:eastAsia="Arial" w:cs="Arial"/>
          <w:color w:val="000000" w:themeColor="text1"/>
          <w:sz w:val="22"/>
        </w:rPr>
        <w:t>n</w:t>
      </w:r>
      <w:r w:rsidRPr="6D9F24A9">
        <w:rPr>
          <w:rFonts w:eastAsia="Arial" w:cs="Arial"/>
          <w:color w:val="000000" w:themeColor="text1"/>
          <w:sz w:val="22"/>
        </w:rPr>
        <w:t>on-complaint HR cost.</w:t>
      </w:r>
    </w:p>
    <w:p w14:paraId="107BC8AF" w14:textId="77777777" w:rsidR="006C36E6" w:rsidRDefault="006C36E6" w:rsidP="006C36E6">
      <w:pPr>
        <w:spacing w:before="100" w:after="100" w:line="240" w:lineRule="auto"/>
        <w:jc w:val="both"/>
        <w:rPr>
          <w:rFonts w:asciiTheme="minorHAnsi" w:hAnsiTheme="minorHAnsi" w:cstheme="minorHAnsi"/>
          <w:b/>
          <w:bCs/>
          <w:sz w:val="22"/>
          <w:u w:val="single"/>
        </w:rPr>
      </w:pPr>
    </w:p>
    <w:p w14:paraId="77CEA2C2" w14:textId="77777777" w:rsidR="006C36E6" w:rsidRPr="00BC5990" w:rsidRDefault="006C36E6" w:rsidP="006C36E6">
      <w:pPr>
        <w:spacing w:before="100" w:after="100" w:line="240" w:lineRule="auto"/>
        <w:jc w:val="both"/>
        <w:rPr>
          <w:rFonts w:asciiTheme="minorHAnsi" w:hAnsiTheme="minorHAnsi" w:cstheme="minorHAnsi"/>
          <w:b/>
          <w:bCs/>
          <w:sz w:val="22"/>
          <w:u w:val="single"/>
        </w:rPr>
      </w:pPr>
      <w:r w:rsidRPr="00BC5990">
        <w:rPr>
          <w:rFonts w:asciiTheme="minorHAnsi" w:hAnsiTheme="minorHAnsi" w:cstheme="minorHAnsi"/>
          <w:b/>
          <w:bCs/>
          <w:sz w:val="22"/>
          <w:u w:val="single"/>
        </w:rPr>
        <w:t>Scope of work</w:t>
      </w:r>
    </w:p>
    <w:p w14:paraId="4D46EDBA" w14:textId="77777777" w:rsidR="006C36E6" w:rsidRPr="006D6D23" w:rsidRDefault="006C36E6" w:rsidP="006C36E6">
      <w:pPr>
        <w:spacing w:before="100" w:after="100" w:line="240" w:lineRule="auto"/>
        <w:rPr>
          <w:rFonts w:asciiTheme="minorHAnsi" w:hAnsiTheme="minorHAnsi" w:cstheme="minorHAnsi"/>
          <w:sz w:val="22"/>
        </w:rPr>
      </w:pPr>
      <w:r w:rsidRPr="006D6D23">
        <w:rPr>
          <w:rFonts w:asciiTheme="minorHAnsi" w:hAnsiTheme="minorHAnsi" w:cstheme="minorHAnsi"/>
          <w:sz w:val="22"/>
        </w:rPr>
        <w:t xml:space="preserve">Scope of work could either be </w:t>
      </w:r>
      <w:r>
        <w:rPr>
          <w:rFonts w:asciiTheme="minorHAnsi" w:hAnsiTheme="minorHAnsi" w:cstheme="minorHAnsi"/>
          <w:sz w:val="22"/>
        </w:rPr>
        <w:t xml:space="preserve">one </w:t>
      </w:r>
      <w:r w:rsidRPr="006D6D23">
        <w:rPr>
          <w:rFonts w:asciiTheme="minorHAnsi" w:hAnsiTheme="minorHAnsi" w:cstheme="minorHAnsi"/>
          <w:sz w:val="22"/>
        </w:rPr>
        <w:t>or a combination of both:</w:t>
      </w:r>
    </w:p>
    <w:p w14:paraId="351ADF26" w14:textId="77777777" w:rsidR="006C36E6" w:rsidRDefault="006C36E6" w:rsidP="006C36E6">
      <w:pPr>
        <w:pStyle w:val="ListParagraph"/>
        <w:numPr>
          <w:ilvl w:val="0"/>
          <w:numId w:val="24"/>
        </w:numPr>
        <w:spacing w:before="100" w:after="100" w:line="240" w:lineRule="auto"/>
        <w:rPr>
          <w:rFonts w:asciiTheme="minorHAnsi" w:hAnsiTheme="minorHAnsi" w:cstheme="minorHAnsi"/>
          <w:sz w:val="22"/>
        </w:rPr>
      </w:pPr>
      <w:r w:rsidRPr="006D6D23">
        <w:rPr>
          <w:rFonts w:asciiTheme="minorHAnsi" w:hAnsiTheme="minorHAnsi" w:cstheme="minorHAnsi"/>
          <w:sz w:val="22"/>
        </w:rPr>
        <w:t>Assess the design and operating effectiveness of PR /SR system to monitor expenditure reporting and documentation to ensure compliance in accordance with the requirements of the relevant Grant Agreement.</w:t>
      </w:r>
    </w:p>
    <w:p w14:paraId="62EF81D4" w14:textId="77777777" w:rsidR="006C36E6" w:rsidRPr="006D6D23" w:rsidRDefault="006C36E6" w:rsidP="006C36E6">
      <w:pPr>
        <w:pStyle w:val="ListParagraph"/>
        <w:spacing w:before="100" w:after="100" w:line="240" w:lineRule="auto"/>
        <w:rPr>
          <w:rFonts w:asciiTheme="minorHAnsi" w:hAnsiTheme="minorHAnsi" w:cstheme="minorHAnsi"/>
          <w:sz w:val="22"/>
        </w:rPr>
      </w:pPr>
    </w:p>
    <w:p w14:paraId="195497BB" w14:textId="77777777" w:rsidR="006C36E6" w:rsidRPr="006D6D23" w:rsidRDefault="006C36E6" w:rsidP="006C36E6">
      <w:pPr>
        <w:pStyle w:val="ListParagraph"/>
        <w:numPr>
          <w:ilvl w:val="0"/>
          <w:numId w:val="24"/>
        </w:numPr>
        <w:spacing w:before="100" w:after="100" w:line="240" w:lineRule="auto"/>
        <w:rPr>
          <w:rFonts w:asciiTheme="minorHAnsi" w:hAnsiTheme="minorHAnsi" w:cstheme="minorHAnsi"/>
          <w:sz w:val="22"/>
        </w:rPr>
      </w:pPr>
      <w:r w:rsidRPr="006D6D23">
        <w:rPr>
          <w:rFonts w:asciiTheme="minorHAnsi" w:hAnsiTheme="minorHAnsi" w:cstheme="minorHAnsi"/>
          <w:sz w:val="22"/>
        </w:rPr>
        <w:t>Test of details of the expenditure to confirm compliance with applicable terms and provide assurance over the validity of the expenditure.</w:t>
      </w:r>
    </w:p>
    <w:p w14:paraId="5D4DA21F" w14:textId="77777777" w:rsidR="006C36E6" w:rsidRDefault="006C36E6" w:rsidP="006C36E6">
      <w:pPr>
        <w:pStyle w:val="ListParagraph"/>
        <w:spacing w:before="100" w:after="100" w:line="240" w:lineRule="auto"/>
        <w:rPr>
          <w:rFonts w:asciiTheme="minorHAnsi" w:hAnsiTheme="minorHAnsi"/>
          <w:sz w:val="22"/>
        </w:rPr>
      </w:pPr>
    </w:p>
    <w:p w14:paraId="06515A27" w14:textId="77777777" w:rsidR="006C36E6" w:rsidRPr="00BC5990" w:rsidRDefault="006C36E6" w:rsidP="006C36E6">
      <w:pPr>
        <w:spacing w:before="100" w:after="100" w:line="240" w:lineRule="auto"/>
        <w:rPr>
          <w:rFonts w:asciiTheme="minorHAnsi" w:hAnsiTheme="minorHAnsi" w:cstheme="minorHAnsi"/>
          <w:b/>
          <w:bCs/>
          <w:sz w:val="22"/>
          <w:u w:val="single"/>
        </w:rPr>
      </w:pPr>
      <w:r w:rsidRPr="00BC5990">
        <w:rPr>
          <w:rFonts w:asciiTheme="minorHAnsi" w:hAnsiTheme="minorHAnsi" w:cstheme="minorHAnsi"/>
          <w:b/>
          <w:bCs/>
          <w:sz w:val="22"/>
          <w:u w:val="single"/>
        </w:rPr>
        <w:t xml:space="preserve">Not covered by this </w:t>
      </w:r>
      <w:proofErr w:type="spellStart"/>
      <w:r w:rsidRPr="00BC5990">
        <w:rPr>
          <w:rFonts w:asciiTheme="minorHAnsi" w:hAnsiTheme="minorHAnsi" w:cstheme="minorHAnsi"/>
          <w:b/>
          <w:bCs/>
          <w:sz w:val="22"/>
          <w:u w:val="single"/>
        </w:rPr>
        <w:t>ToR</w:t>
      </w:r>
      <w:proofErr w:type="spellEnd"/>
    </w:p>
    <w:p w14:paraId="79FC4A4E" w14:textId="5B64D59E" w:rsidR="006C36E6" w:rsidRDefault="006C36E6" w:rsidP="006C36E6">
      <w:pPr>
        <w:spacing w:before="100" w:after="100" w:line="240" w:lineRule="auto"/>
      </w:pPr>
      <w:r w:rsidRPr="12F55DBE">
        <w:rPr>
          <w:rFonts w:asciiTheme="minorHAnsi" w:hAnsiTheme="minorHAnsi"/>
          <w:sz w:val="22"/>
        </w:rPr>
        <w:t xml:space="preserve">IT General Controls (ITGC) or General Computer Controls (GCC) are controls which relate to the environment that supports IT Applications. Obtaining assurance over the appropriateness and effectiveness of ITGC’s is out of scope for this </w:t>
      </w:r>
      <w:proofErr w:type="spellStart"/>
      <w:r w:rsidRPr="12F55DBE">
        <w:rPr>
          <w:rFonts w:asciiTheme="minorHAnsi" w:hAnsiTheme="minorHAnsi"/>
          <w:sz w:val="22"/>
        </w:rPr>
        <w:t>ToR</w:t>
      </w:r>
      <w:proofErr w:type="spellEnd"/>
      <w:r w:rsidRPr="12F55DBE">
        <w:rPr>
          <w:rFonts w:asciiTheme="minorHAnsi" w:hAnsiTheme="minorHAnsi"/>
          <w:sz w:val="22"/>
        </w:rPr>
        <w:t xml:space="preserve"> but rather </w:t>
      </w:r>
      <w:r w:rsidRPr="12F55DBE">
        <w:rPr>
          <w:rFonts w:asciiTheme="minorHAnsi" w:hAnsiTheme="minorHAnsi"/>
          <w:sz w:val="22"/>
          <w:shd w:val="clear" w:color="auto" w:fill="FFFFFF"/>
        </w:rPr>
        <w:t>subject to another specialized IT audit</w:t>
      </w:r>
      <w:r w:rsidR="001B4C20">
        <w:rPr>
          <w:rFonts w:asciiTheme="minorHAnsi" w:hAnsiTheme="minorHAnsi"/>
          <w:sz w:val="22"/>
          <w:shd w:val="clear" w:color="auto" w:fill="FFFFFF"/>
        </w:rPr>
        <w:t>.</w:t>
      </w:r>
    </w:p>
    <w:p w14:paraId="5EBB7EC1" w14:textId="77777777" w:rsidR="006C36E6" w:rsidRDefault="006C36E6" w:rsidP="006C36E6">
      <w:pPr>
        <w:spacing w:before="100" w:after="100" w:line="240" w:lineRule="auto"/>
      </w:pPr>
    </w:p>
    <w:p w14:paraId="59FAAC05" w14:textId="77777777" w:rsidR="006C36E6" w:rsidRPr="006D6D23" w:rsidRDefault="006C36E6" w:rsidP="006C36E6">
      <w:pPr>
        <w:spacing w:before="100" w:after="100" w:line="240" w:lineRule="auto"/>
        <w:rPr>
          <w:rFonts w:asciiTheme="minorHAnsi" w:hAnsiTheme="minorHAnsi" w:cstheme="minorHAnsi"/>
          <w:b/>
          <w:bCs/>
          <w:sz w:val="22"/>
        </w:rPr>
      </w:pPr>
      <w:r w:rsidRPr="006D6D23">
        <w:rPr>
          <w:rFonts w:asciiTheme="minorHAnsi" w:hAnsiTheme="minorHAnsi" w:cstheme="minorHAnsi"/>
          <w:b/>
          <w:bCs/>
          <w:sz w:val="22"/>
        </w:rPr>
        <w:t>Applicable Corporate Risk</w:t>
      </w:r>
    </w:p>
    <w:tbl>
      <w:tblPr>
        <w:tblStyle w:val="TableGrid"/>
        <w:tblW w:w="5000" w:type="pct"/>
        <w:tblLook w:val="04A0" w:firstRow="1" w:lastRow="0" w:firstColumn="1" w:lastColumn="0" w:noHBand="0" w:noVBand="1"/>
      </w:tblPr>
      <w:tblGrid>
        <w:gridCol w:w="3871"/>
        <w:gridCol w:w="5879"/>
      </w:tblGrid>
      <w:tr w:rsidR="006C36E6" w:rsidRPr="006D6D23" w14:paraId="231AAE27" w14:textId="77777777" w:rsidTr="00A63771">
        <w:tc>
          <w:tcPr>
            <w:tcW w:w="1985" w:type="pct"/>
            <w:vMerge w:val="restart"/>
          </w:tcPr>
          <w:p w14:paraId="00A629F7" w14:textId="77777777" w:rsidR="006C36E6" w:rsidRPr="006D6D23" w:rsidRDefault="006C36E6" w:rsidP="00A63771">
            <w:pPr>
              <w:spacing w:before="100" w:after="100" w:line="240" w:lineRule="auto"/>
              <w:rPr>
                <w:rFonts w:asciiTheme="minorHAnsi" w:hAnsiTheme="minorHAnsi" w:cstheme="minorHAnsi"/>
                <w:sz w:val="22"/>
              </w:rPr>
            </w:pPr>
            <w:r w:rsidRPr="006D6D23">
              <w:rPr>
                <w:rFonts w:asciiTheme="minorHAnsi" w:hAnsiTheme="minorHAnsi" w:cstheme="minorHAnsi"/>
                <w:sz w:val="22"/>
              </w:rPr>
              <w:t>Grant-related Fraud &amp; Fiduciary</w:t>
            </w:r>
          </w:p>
        </w:tc>
        <w:tc>
          <w:tcPr>
            <w:tcW w:w="3015" w:type="pct"/>
            <w:shd w:val="clear" w:color="auto" w:fill="D3D3D3" w:themeFill="text2" w:themeFillTint="66"/>
          </w:tcPr>
          <w:p w14:paraId="01A49CA9" w14:textId="77777777" w:rsidR="006C36E6" w:rsidRPr="006D6D23" w:rsidRDefault="006C36E6" w:rsidP="00A63771">
            <w:pPr>
              <w:spacing w:before="100" w:after="100" w:line="240" w:lineRule="auto"/>
              <w:rPr>
                <w:rFonts w:asciiTheme="minorHAnsi" w:hAnsiTheme="minorHAnsi" w:cstheme="minorHAnsi"/>
                <w:b/>
                <w:bCs/>
                <w:sz w:val="22"/>
              </w:rPr>
            </w:pPr>
            <w:r w:rsidRPr="006D6D23">
              <w:rPr>
                <w:rFonts w:asciiTheme="minorHAnsi" w:hAnsiTheme="minorHAnsi" w:cstheme="minorHAnsi"/>
                <w:b/>
                <w:bCs/>
                <w:sz w:val="22"/>
              </w:rPr>
              <w:t>Flow of Funds Arrangement</w:t>
            </w:r>
          </w:p>
        </w:tc>
      </w:tr>
      <w:tr w:rsidR="006C36E6" w:rsidRPr="006D6D23" w14:paraId="0F3C3B24" w14:textId="77777777" w:rsidTr="00A63771">
        <w:tc>
          <w:tcPr>
            <w:tcW w:w="1985" w:type="pct"/>
            <w:vMerge/>
          </w:tcPr>
          <w:p w14:paraId="5197DA54" w14:textId="77777777" w:rsidR="006C36E6" w:rsidRPr="006D6D23" w:rsidRDefault="006C36E6" w:rsidP="00A63771">
            <w:pPr>
              <w:spacing w:before="100" w:after="100" w:line="240" w:lineRule="auto"/>
              <w:rPr>
                <w:rFonts w:asciiTheme="minorHAnsi" w:hAnsiTheme="minorHAnsi" w:cstheme="minorHAnsi"/>
                <w:sz w:val="22"/>
              </w:rPr>
            </w:pPr>
          </w:p>
        </w:tc>
        <w:tc>
          <w:tcPr>
            <w:tcW w:w="3015" w:type="pct"/>
            <w:shd w:val="clear" w:color="auto" w:fill="D3D3D3" w:themeFill="text2" w:themeFillTint="66"/>
          </w:tcPr>
          <w:p w14:paraId="499FB6FF" w14:textId="77777777" w:rsidR="006C36E6" w:rsidRPr="006D6D23" w:rsidRDefault="006C36E6" w:rsidP="00A63771">
            <w:pPr>
              <w:spacing w:before="100" w:after="100" w:line="240" w:lineRule="auto"/>
              <w:rPr>
                <w:rFonts w:asciiTheme="minorHAnsi" w:hAnsiTheme="minorHAnsi" w:cstheme="minorHAnsi"/>
                <w:b/>
                <w:bCs/>
                <w:sz w:val="22"/>
              </w:rPr>
            </w:pPr>
            <w:r w:rsidRPr="006D6D23">
              <w:rPr>
                <w:rFonts w:asciiTheme="minorHAnsi" w:hAnsiTheme="minorHAnsi" w:cstheme="minorHAnsi"/>
                <w:b/>
                <w:bCs/>
                <w:sz w:val="22"/>
              </w:rPr>
              <w:t>Internal Controls</w:t>
            </w:r>
          </w:p>
        </w:tc>
      </w:tr>
      <w:tr w:rsidR="006C36E6" w:rsidRPr="006D6D23" w14:paraId="5A986640" w14:textId="77777777" w:rsidTr="00A63771">
        <w:tc>
          <w:tcPr>
            <w:tcW w:w="1985" w:type="pct"/>
            <w:vMerge/>
          </w:tcPr>
          <w:p w14:paraId="14B59A24" w14:textId="77777777" w:rsidR="006C36E6" w:rsidRPr="006D6D23" w:rsidRDefault="006C36E6" w:rsidP="00A63771">
            <w:pPr>
              <w:spacing w:before="100" w:after="100" w:line="240" w:lineRule="auto"/>
              <w:rPr>
                <w:rFonts w:asciiTheme="minorHAnsi" w:hAnsiTheme="minorHAnsi" w:cstheme="minorHAnsi"/>
                <w:sz w:val="22"/>
              </w:rPr>
            </w:pPr>
          </w:p>
        </w:tc>
        <w:tc>
          <w:tcPr>
            <w:tcW w:w="3015" w:type="pct"/>
            <w:shd w:val="clear" w:color="auto" w:fill="D3D3D3" w:themeFill="text2" w:themeFillTint="66"/>
          </w:tcPr>
          <w:p w14:paraId="15E70430" w14:textId="77777777" w:rsidR="006C36E6" w:rsidRPr="006D6D23" w:rsidRDefault="006C36E6" w:rsidP="00A63771">
            <w:pPr>
              <w:spacing w:before="100" w:after="100" w:line="240" w:lineRule="auto"/>
              <w:rPr>
                <w:rFonts w:asciiTheme="minorHAnsi" w:hAnsiTheme="minorHAnsi" w:cstheme="minorHAnsi"/>
                <w:b/>
                <w:bCs/>
                <w:sz w:val="22"/>
              </w:rPr>
            </w:pPr>
            <w:r w:rsidRPr="006D6D23">
              <w:rPr>
                <w:rFonts w:asciiTheme="minorHAnsi" w:hAnsiTheme="minorHAnsi" w:cstheme="minorHAnsi"/>
                <w:b/>
                <w:bCs/>
                <w:sz w:val="22"/>
              </w:rPr>
              <w:t>Financial Fraud, Corruption &amp; Theft</w:t>
            </w:r>
          </w:p>
        </w:tc>
      </w:tr>
      <w:tr w:rsidR="006C36E6" w:rsidRPr="006D6D23" w14:paraId="2C8B8C44" w14:textId="77777777" w:rsidTr="00A63771">
        <w:tc>
          <w:tcPr>
            <w:tcW w:w="1985" w:type="pct"/>
            <w:vMerge/>
          </w:tcPr>
          <w:p w14:paraId="239783A9" w14:textId="77777777" w:rsidR="006C36E6" w:rsidRPr="006D6D23" w:rsidRDefault="006C36E6" w:rsidP="00A63771">
            <w:pPr>
              <w:spacing w:before="100" w:after="100" w:line="240" w:lineRule="auto"/>
              <w:rPr>
                <w:rFonts w:asciiTheme="minorHAnsi" w:hAnsiTheme="minorHAnsi" w:cstheme="minorHAnsi"/>
                <w:sz w:val="22"/>
              </w:rPr>
            </w:pPr>
          </w:p>
        </w:tc>
        <w:tc>
          <w:tcPr>
            <w:tcW w:w="3015" w:type="pct"/>
          </w:tcPr>
          <w:p w14:paraId="06A2BF24" w14:textId="77777777" w:rsidR="006C36E6" w:rsidRPr="006D6D23" w:rsidRDefault="006C36E6" w:rsidP="00A63771">
            <w:pPr>
              <w:spacing w:before="100" w:after="100" w:line="240" w:lineRule="auto"/>
              <w:rPr>
                <w:rFonts w:asciiTheme="minorHAnsi" w:hAnsiTheme="minorHAnsi" w:cstheme="minorHAnsi"/>
                <w:sz w:val="22"/>
              </w:rPr>
            </w:pPr>
            <w:r w:rsidRPr="006D6D23">
              <w:rPr>
                <w:rFonts w:asciiTheme="minorHAnsi" w:hAnsiTheme="minorHAnsi" w:cstheme="minorHAnsi"/>
                <w:sz w:val="22"/>
              </w:rPr>
              <w:t>Value for Money - Financial Management</w:t>
            </w:r>
          </w:p>
        </w:tc>
      </w:tr>
      <w:tr w:rsidR="006C36E6" w:rsidRPr="006D6D23" w14:paraId="0AF17298" w14:textId="77777777" w:rsidTr="00A63771">
        <w:tc>
          <w:tcPr>
            <w:tcW w:w="1985" w:type="pct"/>
            <w:vMerge w:val="restart"/>
          </w:tcPr>
          <w:p w14:paraId="0090CB6C" w14:textId="77777777" w:rsidR="006C36E6" w:rsidRPr="006D6D23" w:rsidRDefault="006C36E6" w:rsidP="00A63771">
            <w:pPr>
              <w:spacing w:before="100" w:after="100" w:line="240" w:lineRule="auto"/>
              <w:rPr>
                <w:rFonts w:asciiTheme="minorHAnsi" w:hAnsiTheme="minorHAnsi" w:cstheme="minorHAnsi"/>
                <w:sz w:val="22"/>
              </w:rPr>
            </w:pPr>
            <w:r w:rsidRPr="006D6D23">
              <w:rPr>
                <w:rFonts w:asciiTheme="minorHAnsi" w:hAnsiTheme="minorHAnsi" w:cstheme="minorHAnsi"/>
                <w:sz w:val="22"/>
              </w:rPr>
              <w:t>Accounting &amp; Financial Reporting by Countries</w:t>
            </w:r>
          </w:p>
        </w:tc>
        <w:tc>
          <w:tcPr>
            <w:tcW w:w="3015" w:type="pct"/>
            <w:shd w:val="clear" w:color="auto" w:fill="D3D3D3" w:themeFill="text2" w:themeFillTint="66"/>
          </w:tcPr>
          <w:p w14:paraId="4DD8A2FC" w14:textId="77777777" w:rsidR="006C36E6" w:rsidRPr="006D6D23" w:rsidRDefault="006C36E6" w:rsidP="00A63771">
            <w:pPr>
              <w:spacing w:before="100" w:after="100" w:line="240" w:lineRule="auto"/>
              <w:rPr>
                <w:rFonts w:asciiTheme="minorHAnsi" w:hAnsiTheme="minorHAnsi" w:cstheme="minorHAnsi"/>
                <w:b/>
                <w:bCs/>
                <w:sz w:val="22"/>
              </w:rPr>
            </w:pPr>
            <w:r w:rsidRPr="006D6D23">
              <w:rPr>
                <w:rFonts w:asciiTheme="minorHAnsi" w:hAnsiTheme="minorHAnsi" w:cstheme="minorHAnsi"/>
                <w:b/>
                <w:bCs/>
                <w:sz w:val="22"/>
              </w:rPr>
              <w:t>Accounting &amp; Financial Reporting</w:t>
            </w:r>
          </w:p>
        </w:tc>
      </w:tr>
      <w:tr w:rsidR="006C36E6" w:rsidRPr="006D6D23" w14:paraId="51C424FA" w14:textId="77777777" w:rsidTr="00A63771">
        <w:tc>
          <w:tcPr>
            <w:tcW w:w="1985" w:type="pct"/>
            <w:vMerge/>
          </w:tcPr>
          <w:p w14:paraId="6BC5F660" w14:textId="77777777" w:rsidR="006C36E6" w:rsidRPr="006D6D23" w:rsidRDefault="006C36E6" w:rsidP="00A63771">
            <w:pPr>
              <w:spacing w:before="100" w:after="100" w:line="240" w:lineRule="auto"/>
              <w:rPr>
                <w:rFonts w:asciiTheme="minorHAnsi" w:hAnsiTheme="minorHAnsi" w:cstheme="minorHAnsi"/>
                <w:sz w:val="22"/>
              </w:rPr>
            </w:pPr>
          </w:p>
        </w:tc>
        <w:tc>
          <w:tcPr>
            <w:tcW w:w="3015" w:type="pct"/>
          </w:tcPr>
          <w:p w14:paraId="2489B3D1" w14:textId="77777777" w:rsidR="006C36E6" w:rsidRPr="006D6D23" w:rsidRDefault="006C36E6" w:rsidP="00A63771">
            <w:pPr>
              <w:spacing w:before="100" w:after="100" w:line="240" w:lineRule="auto"/>
              <w:rPr>
                <w:rFonts w:asciiTheme="minorHAnsi" w:hAnsiTheme="minorHAnsi" w:cstheme="minorHAnsi"/>
                <w:sz w:val="22"/>
              </w:rPr>
            </w:pPr>
            <w:r w:rsidRPr="006D6D23">
              <w:rPr>
                <w:rFonts w:asciiTheme="minorHAnsi" w:hAnsiTheme="minorHAnsi" w:cstheme="minorHAnsi"/>
                <w:sz w:val="22"/>
              </w:rPr>
              <w:t>Auditing Arrangements</w:t>
            </w:r>
          </w:p>
        </w:tc>
      </w:tr>
    </w:tbl>
    <w:p w14:paraId="6CCB72AB" w14:textId="77777777" w:rsidR="006C36E6" w:rsidRPr="006D6D23" w:rsidRDefault="006C36E6" w:rsidP="006C36E6">
      <w:pPr>
        <w:pStyle w:val="ListParagraph"/>
        <w:spacing w:before="100" w:after="100" w:line="240" w:lineRule="auto"/>
        <w:rPr>
          <w:rFonts w:asciiTheme="minorHAnsi" w:hAnsiTheme="minorHAnsi" w:cstheme="minorHAnsi"/>
          <w:sz w:val="22"/>
        </w:rPr>
      </w:pPr>
    </w:p>
    <w:p w14:paraId="53FB00E2" w14:textId="77777777" w:rsidR="006C36E6" w:rsidRPr="006D6D23" w:rsidRDefault="006C36E6" w:rsidP="006C36E6">
      <w:pPr>
        <w:spacing w:before="100" w:after="100" w:line="240" w:lineRule="auto"/>
        <w:rPr>
          <w:rFonts w:asciiTheme="minorHAnsi" w:hAnsiTheme="minorHAnsi" w:cstheme="minorHAnsi"/>
          <w:sz w:val="22"/>
        </w:rPr>
      </w:pPr>
      <w:r w:rsidRPr="006D6D23">
        <w:rPr>
          <w:rFonts w:asciiTheme="minorHAnsi" w:hAnsiTheme="minorHAnsi" w:cstheme="minorHAnsi"/>
          <w:sz w:val="22"/>
        </w:rPr>
        <w:br w:type="page"/>
      </w:r>
    </w:p>
    <w:p w14:paraId="5F5DB431" w14:textId="77777777" w:rsidR="006C36E6" w:rsidRPr="006D6D23" w:rsidRDefault="006C36E6" w:rsidP="006C36E6">
      <w:pPr>
        <w:pStyle w:val="ListParagraph"/>
        <w:spacing w:before="100" w:after="100" w:line="240" w:lineRule="auto"/>
        <w:rPr>
          <w:rFonts w:asciiTheme="minorHAnsi" w:hAnsiTheme="minorHAnsi" w:cstheme="minorHAnsi"/>
          <w:sz w:val="22"/>
        </w:rPr>
      </w:pPr>
    </w:p>
    <w:p w14:paraId="28D6B0B1" w14:textId="77777777" w:rsidR="006C36E6" w:rsidRPr="006D6D23" w:rsidRDefault="006C36E6" w:rsidP="006C36E6">
      <w:pPr>
        <w:pStyle w:val="ListParagraph"/>
        <w:numPr>
          <w:ilvl w:val="0"/>
          <w:numId w:val="27"/>
        </w:numPr>
        <w:spacing w:before="100" w:after="100" w:line="240" w:lineRule="auto"/>
        <w:rPr>
          <w:rFonts w:asciiTheme="minorHAnsi" w:hAnsiTheme="minorHAnsi" w:cstheme="minorHAnsi"/>
          <w:b/>
          <w:sz w:val="22"/>
          <w:u w:val="single"/>
          <w:lang w:val="en-GB"/>
        </w:rPr>
      </w:pPr>
      <w:r w:rsidRPr="006D6D23">
        <w:rPr>
          <w:rFonts w:asciiTheme="minorHAnsi" w:hAnsiTheme="minorHAnsi" w:cstheme="minorHAnsi"/>
          <w:b/>
          <w:sz w:val="22"/>
          <w:u w:val="single"/>
          <w:lang w:val="en-GB"/>
        </w:rPr>
        <w:t>Detailed Scope of work</w:t>
      </w:r>
    </w:p>
    <w:p w14:paraId="4F453790" w14:textId="77777777" w:rsidR="006C36E6" w:rsidRPr="006D6D23" w:rsidRDefault="006C36E6" w:rsidP="006C36E6">
      <w:pPr>
        <w:spacing w:before="100" w:after="100" w:line="240" w:lineRule="auto"/>
        <w:rPr>
          <w:rFonts w:asciiTheme="minorHAnsi" w:hAnsiTheme="minorHAnsi" w:cstheme="minorHAnsi"/>
          <w:sz w:val="22"/>
          <w:lang w:val="en-GB"/>
        </w:rPr>
      </w:pPr>
      <w:r w:rsidRPr="006D6D23">
        <w:rPr>
          <w:rFonts w:asciiTheme="minorHAnsi" w:hAnsiTheme="minorHAnsi" w:cstheme="minorHAnsi"/>
          <w:sz w:val="22"/>
          <w:lang w:val="en-GB"/>
        </w:rPr>
        <w:t>The scope of the review will cover the following areas:</w:t>
      </w:r>
    </w:p>
    <w:p w14:paraId="2D71712C" w14:textId="77777777" w:rsidR="006C36E6" w:rsidRPr="006D6D23" w:rsidRDefault="006C36E6" w:rsidP="006C36E6">
      <w:pPr>
        <w:pStyle w:val="ListParagraph"/>
        <w:numPr>
          <w:ilvl w:val="0"/>
          <w:numId w:val="25"/>
        </w:numPr>
        <w:spacing w:before="100" w:after="100" w:line="240" w:lineRule="auto"/>
        <w:rPr>
          <w:rFonts w:asciiTheme="minorHAnsi" w:hAnsiTheme="minorHAnsi" w:cstheme="minorHAnsi"/>
          <w:sz w:val="22"/>
          <w:lang w:val="en-GB"/>
        </w:rPr>
      </w:pPr>
      <w:r w:rsidRPr="006D6D23">
        <w:rPr>
          <w:rFonts w:asciiTheme="minorHAnsi" w:hAnsiTheme="minorHAnsi" w:cstheme="minorHAnsi"/>
          <w:sz w:val="22"/>
          <w:lang w:val="en-GB"/>
        </w:rPr>
        <w:t xml:space="preserve">Verify that the funds have been used </w:t>
      </w:r>
      <w:r w:rsidRPr="006D6D23">
        <w:rPr>
          <w:rFonts w:asciiTheme="minorHAnsi" w:hAnsiTheme="minorHAnsi" w:cstheme="minorHAnsi"/>
          <w:sz w:val="22"/>
        </w:rPr>
        <w:t xml:space="preserve">in accordance with the applicable grant agreement, comply with the implementer’s applicable financial and procurement regulations, policies and procedures, consistent with best practices with due attention to </w:t>
      </w:r>
      <w:r>
        <w:rPr>
          <w:rFonts w:asciiTheme="minorHAnsi" w:hAnsiTheme="minorHAnsi" w:cstheme="minorHAnsi"/>
          <w:sz w:val="22"/>
        </w:rPr>
        <w:t>v</w:t>
      </w:r>
      <w:r w:rsidRPr="006D6D23">
        <w:rPr>
          <w:rFonts w:asciiTheme="minorHAnsi" w:hAnsiTheme="minorHAnsi" w:cstheme="minorHAnsi"/>
          <w:sz w:val="22"/>
        </w:rPr>
        <w:t>alue for money, and that they have only been used for the purposes for which they were intended and in accordance with the conditions under which the funding was provided</w:t>
      </w:r>
      <w:r>
        <w:rPr>
          <w:rFonts w:asciiTheme="minorHAnsi" w:hAnsiTheme="minorHAnsi" w:cstheme="minorHAnsi"/>
          <w:sz w:val="22"/>
        </w:rPr>
        <w:t>.</w:t>
      </w:r>
    </w:p>
    <w:p w14:paraId="740F6100" w14:textId="77777777" w:rsidR="006C36E6" w:rsidRPr="006D6D23" w:rsidRDefault="006C36E6" w:rsidP="006C36E6">
      <w:pPr>
        <w:pStyle w:val="ListParagraph"/>
        <w:spacing w:before="100" w:after="100" w:line="240" w:lineRule="auto"/>
        <w:ind w:left="360"/>
        <w:rPr>
          <w:rFonts w:asciiTheme="minorHAnsi" w:hAnsiTheme="minorHAnsi" w:cstheme="minorHAnsi"/>
          <w:sz w:val="22"/>
          <w:lang w:val="en-GB"/>
        </w:rPr>
      </w:pPr>
    </w:p>
    <w:p w14:paraId="0D0929CD" w14:textId="77777777" w:rsidR="006C36E6" w:rsidRPr="006D6D23" w:rsidRDefault="006C36E6" w:rsidP="006C36E6">
      <w:pPr>
        <w:numPr>
          <w:ilvl w:val="0"/>
          <w:numId w:val="25"/>
        </w:numPr>
        <w:tabs>
          <w:tab w:val="left" w:pos="720"/>
        </w:tabs>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GB"/>
        </w:rPr>
        <w:t xml:space="preserve">Confirm that </w:t>
      </w:r>
      <w:r>
        <w:rPr>
          <w:rFonts w:asciiTheme="minorHAnsi" w:hAnsiTheme="minorHAnsi" w:cstheme="minorHAnsi"/>
          <w:sz w:val="22"/>
          <w:lang w:val="en-GB"/>
        </w:rPr>
        <w:t>g</w:t>
      </w:r>
      <w:r w:rsidRPr="006D6D23">
        <w:rPr>
          <w:rFonts w:asciiTheme="minorHAnsi" w:hAnsiTheme="minorHAnsi" w:cstheme="minorHAnsi"/>
          <w:sz w:val="22"/>
          <w:lang w:val="en-GB"/>
        </w:rPr>
        <w:t xml:space="preserve">oods and services financed have been procured in accordance with sound procurement procedures </w:t>
      </w:r>
      <w:r>
        <w:rPr>
          <w:rFonts w:asciiTheme="minorHAnsi" w:hAnsiTheme="minorHAnsi" w:cstheme="minorHAnsi"/>
          <w:sz w:val="22"/>
          <w:lang w:val="en-GB"/>
        </w:rPr>
        <w:t xml:space="preserve">as per </w:t>
      </w:r>
      <w:r w:rsidRPr="006D6D23">
        <w:rPr>
          <w:rFonts w:asciiTheme="minorHAnsi" w:hAnsiTheme="minorHAnsi" w:cstheme="minorHAnsi"/>
          <w:sz w:val="22"/>
          <w:lang w:val="en-GB"/>
        </w:rPr>
        <w:t xml:space="preserve">the implementer’s Procurement Manual and that </w:t>
      </w:r>
      <w:r w:rsidRPr="006D6D23">
        <w:rPr>
          <w:rFonts w:asciiTheme="minorHAnsi" w:hAnsiTheme="minorHAnsi" w:cstheme="minorHAnsi"/>
          <w:sz w:val="22"/>
          <w:lang w:val="en-ZA"/>
        </w:rPr>
        <w:t>the goods/services charged to the grant are related to approved costs in the budget and are directly attributable to the activities in the approved work plan.</w:t>
      </w:r>
    </w:p>
    <w:p w14:paraId="3395470F" w14:textId="77777777" w:rsidR="006C36E6" w:rsidRPr="006D6D23" w:rsidRDefault="006C36E6" w:rsidP="006C36E6">
      <w:pPr>
        <w:pStyle w:val="ListParagraph"/>
        <w:spacing w:before="100" w:after="100" w:line="240" w:lineRule="auto"/>
        <w:rPr>
          <w:rFonts w:asciiTheme="minorHAnsi" w:hAnsiTheme="minorHAnsi" w:cstheme="minorHAnsi"/>
          <w:sz w:val="22"/>
          <w:lang w:val="en-GB"/>
        </w:rPr>
      </w:pPr>
    </w:p>
    <w:p w14:paraId="00D3DD06" w14:textId="77777777" w:rsidR="006C36E6" w:rsidRPr="006D6D23" w:rsidRDefault="006C36E6" w:rsidP="006C36E6">
      <w:pPr>
        <w:pStyle w:val="ListParagraph"/>
        <w:numPr>
          <w:ilvl w:val="0"/>
          <w:numId w:val="25"/>
        </w:numPr>
        <w:spacing w:before="100" w:after="100" w:line="240" w:lineRule="auto"/>
        <w:rPr>
          <w:rFonts w:asciiTheme="minorHAnsi" w:hAnsiTheme="minorHAnsi" w:cstheme="minorHAnsi"/>
          <w:sz w:val="22"/>
          <w:lang w:val="en-GB"/>
        </w:rPr>
      </w:pPr>
      <w:r w:rsidRPr="006D6D23">
        <w:rPr>
          <w:rFonts w:asciiTheme="minorHAnsi" w:hAnsiTheme="minorHAnsi" w:cstheme="minorHAnsi"/>
          <w:sz w:val="22"/>
        </w:rPr>
        <w:t xml:space="preserve">Confirm that all necessary supporting documents, records and accounts have been kept </w:t>
      </w:r>
      <w:r>
        <w:rPr>
          <w:rFonts w:asciiTheme="minorHAnsi" w:hAnsiTheme="minorHAnsi" w:cstheme="minorHAnsi"/>
          <w:sz w:val="22"/>
        </w:rPr>
        <w:t>with</w:t>
      </w:r>
      <w:r w:rsidRPr="006D6D23">
        <w:rPr>
          <w:rFonts w:asciiTheme="minorHAnsi" w:hAnsiTheme="minorHAnsi" w:cstheme="minorHAnsi"/>
          <w:sz w:val="22"/>
        </w:rPr>
        <w:t xml:space="preserve"> respect </w:t>
      </w:r>
      <w:r>
        <w:rPr>
          <w:rFonts w:asciiTheme="minorHAnsi" w:hAnsiTheme="minorHAnsi" w:cstheme="minorHAnsi"/>
          <w:sz w:val="22"/>
        </w:rPr>
        <w:t>to</w:t>
      </w:r>
      <w:r w:rsidRPr="006D6D23">
        <w:rPr>
          <w:rFonts w:asciiTheme="minorHAnsi" w:hAnsiTheme="minorHAnsi" w:cstheme="minorHAnsi"/>
          <w:sz w:val="22"/>
        </w:rPr>
        <w:t xml:space="preserve"> all </w:t>
      </w:r>
      <w:r>
        <w:rPr>
          <w:rFonts w:asciiTheme="minorHAnsi" w:hAnsiTheme="minorHAnsi" w:cstheme="minorHAnsi"/>
          <w:sz w:val="22"/>
        </w:rPr>
        <w:t xml:space="preserve">tested </w:t>
      </w:r>
      <w:r w:rsidRPr="006D6D23">
        <w:rPr>
          <w:rFonts w:asciiTheme="minorHAnsi" w:hAnsiTheme="minorHAnsi" w:cstheme="minorHAnsi"/>
          <w:sz w:val="22"/>
        </w:rPr>
        <w:t>activities</w:t>
      </w:r>
      <w:r>
        <w:rPr>
          <w:rFonts w:asciiTheme="minorHAnsi" w:hAnsiTheme="minorHAnsi" w:cstheme="minorHAnsi"/>
          <w:sz w:val="22"/>
        </w:rPr>
        <w:t>.</w:t>
      </w:r>
    </w:p>
    <w:p w14:paraId="5AD2E919" w14:textId="77777777" w:rsidR="006C36E6" w:rsidRPr="006D6D23" w:rsidRDefault="006C36E6" w:rsidP="006C36E6">
      <w:pPr>
        <w:pStyle w:val="ListParagraph"/>
        <w:spacing w:before="100" w:after="100" w:line="240" w:lineRule="auto"/>
        <w:rPr>
          <w:rFonts w:asciiTheme="minorHAnsi" w:hAnsiTheme="minorHAnsi" w:cstheme="minorHAnsi"/>
          <w:sz w:val="22"/>
          <w:lang w:val="en-GB"/>
        </w:rPr>
      </w:pPr>
    </w:p>
    <w:p w14:paraId="68454D95" w14:textId="77777777" w:rsidR="006C36E6" w:rsidRPr="006D6D23" w:rsidRDefault="006C36E6" w:rsidP="006C36E6">
      <w:pPr>
        <w:pStyle w:val="ListParagraph"/>
        <w:numPr>
          <w:ilvl w:val="0"/>
          <w:numId w:val="25"/>
        </w:numPr>
        <w:spacing w:before="100" w:after="100" w:line="240" w:lineRule="auto"/>
        <w:rPr>
          <w:rFonts w:asciiTheme="minorHAnsi" w:hAnsiTheme="minorHAnsi" w:cstheme="minorHAnsi"/>
          <w:sz w:val="22"/>
          <w:lang w:val="en-GB"/>
        </w:rPr>
      </w:pPr>
      <w:r w:rsidRPr="006D6D23">
        <w:rPr>
          <w:rFonts w:asciiTheme="minorHAnsi" w:hAnsiTheme="minorHAnsi" w:cstheme="minorHAnsi"/>
          <w:sz w:val="22"/>
          <w:lang w:val="en-GB"/>
        </w:rPr>
        <w:t xml:space="preserve">Verify that all </w:t>
      </w:r>
      <w:r>
        <w:rPr>
          <w:rFonts w:asciiTheme="minorHAnsi" w:hAnsiTheme="minorHAnsi" w:cstheme="minorHAnsi"/>
          <w:sz w:val="22"/>
          <w:lang w:val="en-GB"/>
        </w:rPr>
        <w:t xml:space="preserve">tested </w:t>
      </w:r>
      <w:r w:rsidRPr="006D6D23">
        <w:rPr>
          <w:rFonts w:asciiTheme="minorHAnsi" w:hAnsiTheme="minorHAnsi" w:cstheme="minorHAnsi"/>
          <w:sz w:val="22"/>
          <w:lang w:val="en-GB"/>
        </w:rPr>
        <w:t>expenses have been accurately classified with respect to the correct cost input and cost categories</w:t>
      </w:r>
      <w:r>
        <w:rPr>
          <w:rFonts w:asciiTheme="minorHAnsi" w:hAnsiTheme="minorHAnsi" w:cstheme="minorHAnsi"/>
          <w:sz w:val="22"/>
          <w:lang w:val="en-GB"/>
        </w:rPr>
        <w:t>.</w:t>
      </w:r>
    </w:p>
    <w:p w14:paraId="45BE28D7" w14:textId="77777777" w:rsidR="006C36E6" w:rsidRPr="006D6D23" w:rsidRDefault="006C36E6" w:rsidP="006C36E6">
      <w:pPr>
        <w:pStyle w:val="ListParagraph"/>
        <w:spacing w:before="100" w:after="100" w:line="240" w:lineRule="auto"/>
        <w:rPr>
          <w:rFonts w:asciiTheme="minorHAnsi" w:hAnsiTheme="minorHAnsi" w:cstheme="minorHAnsi"/>
          <w:sz w:val="22"/>
          <w:lang w:val="en-GB"/>
        </w:rPr>
      </w:pPr>
    </w:p>
    <w:p w14:paraId="2B31A689" w14:textId="77777777" w:rsidR="006C36E6" w:rsidRPr="006D6D23" w:rsidRDefault="006C36E6" w:rsidP="006C36E6">
      <w:pPr>
        <w:pStyle w:val="ListParagraph"/>
        <w:numPr>
          <w:ilvl w:val="0"/>
          <w:numId w:val="25"/>
        </w:numPr>
        <w:spacing w:before="100" w:after="100" w:line="240" w:lineRule="auto"/>
        <w:rPr>
          <w:rFonts w:asciiTheme="minorHAnsi" w:hAnsiTheme="minorHAnsi"/>
          <w:sz w:val="22"/>
          <w:lang w:val="en-ZA"/>
        </w:rPr>
      </w:pPr>
      <w:r w:rsidRPr="12F55DBE">
        <w:rPr>
          <w:rFonts w:asciiTheme="minorHAnsi" w:hAnsiTheme="minorHAnsi"/>
          <w:sz w:val="22"/>
          <w:lang w:val="en-ZA"/>
        </w:rPr>
        <w:t xml:space="preserve">Assess the approval systems and limits for transactions to minimize occurrence of errors and incidence of fraud by reviewing </w:t>
      </w:r>
      <w:r>
        <w:rPr>
          <w:rFonts w:asciiTheme="minorHAnsi" w:hAnsiTheme="minorHAnsi"/>
          <w:sz w:val="22"/>
          <w:lang w:val="en-ZA"/>
        </w:rPr>
        <w:t>a</w:t>
      </w:r>
      <w:r w:rsidRPr="12F55DBE">
        <w:rPr>
          <w:rFonts w:asciiTheme="minorHAnsi" w:hAnsiTheme="minorHAnsi"/>
          <w:sz w:val="22"/>
          <w:lang w:val="en-ZA"/>
        </w:rPr>
        <w:t xml:space="preserve">uthorisation </w:t>
      </w:r>
      <w:r>
        <w:rPr>
          <w:rFonts w:asciiTheme="minorHAnsi" w:hAnsiTheme="minorHAnsi"/>
          <w:sz w:val="22"/>
          <w:lang w:val="en-ZA"/>
        </w:rPr>
        <w:t>l</w:t>
      </w:r>
      <w:r w:rsidRPr="12F55DBE">
        <w:rPr>
          <w:rFonts w:asciiTheme="minorHAnsi" w:hAnsiTheme="minorHAnsi"/>
          <w:sz w:val="22"/>
          <w:lang w:val="en-ZA"/>
        </w:rPr>
        <w:t xml:space="preserve">imits for transactions that were processed through the bank </w:t>
      </w:r>
      <w:proofErr w:type="gramStart"/>
      <w:r w:rsidRPr="12F55DBE">
        <w:rPr>
          <w:rFonts w:asciiTheme="minorHAnsi" w:hAnsiTheme="minorHAnsi"/>
          <w:sz w:val="22"/>
          <w:lang w:val="en-ZA"/>
        </w:rPr>
        <w:t>in order to</w:t>
      </w:r>
      <w:proofErr w:type="gramEnd"/>
      <w:r w:rsidRPr="12F55DBE">
        <w:rPr>
          <w:rFonts w:asciiTheme="minorHAnsi" w:hAnsiTheme="minorHAnsi"/>
          <w:sz w:val="22"/>
          <w:lang w:val="en-ZA"/>
        </w:rPr>
        <w:t xml:space="preserve"> ascertain whether expenses are appropriately authorized and approved</w:t>
      </w:r>
      <w:r>
        <w:rPr>
          <w:rFonts w:asciiTheme="minorHAnsi" w:hAnsiTheme="minorHAnsi"/>
          <w:sz w:val="22"/>
          <w:lang w:val="en-ZA"/>
        </w:rPr>
        <w:t>.</w:t>
      </w:r>
    </w:p>
    <w:p w14:paraId="2ACE94DC" w14:textId="77777777" w:rsidR="006C36E6" w:rsidRDefault="006C36E6" w:rsidP="006C36E6">
      <w:pPr>
        <w:pStyle w:val="ListParagraph"/>
        <w:spacing w:before="100" w:after="100" w:line="240" w:lineRule="auto"/>
        <w:ind w:left="360"/>
        <w:rPr>
          <w:rFonts w:asciiTheme="minorHAnsi" w:hAnsiTheme="minorHAnsi"/>
          <w:sz w:val="22"/>
          <w:lang w:val="en-ZA"/>
        </w:rPr>
      </w:pPr>
    </w:p>
    <w:p w14:paraId="52319383" w14:textId="77777777" w:rsidR="006C36E6" w:rsidRPr="006D6D23" w:rsidRDefault="006C36E6" w:rsidP="006C36E6">
      <w:pPr>
        <w:pStyle w:val="ListParagraph"/>
        <w:numPr>
          <w:ilvl w:val="0"/>
          <w:numId w:val="25"/>
        </w:numPr>
        <w:spacing w:before="100" w:after="100" w:line="240" w:lineRule="auto"/>
        <w:rPr>
          <w:rFonts w:asciiTheme="minorHAnsi" w:hAnsiTheme="minorHAnsi"/>
          <w:sz w:val="22"/>
          <w:lang w:val="en-ZA"/>
        </w:rPr>
      </w:pPr>
      <w:r w:rsidRPr="12F55DBE">
        <w:rPr>
          <w:rFonts w:asciiTheme="minorHAnsi" w:hAnsiTheme="minorHAnsi"/>
          <w:sz w:val="22"/>
          <w:lang w:val="en-ZA"/>
        </w:rPr>
        <w:t>Review cash payment vouchers and map to receipts, invoices and other supporting documents to ensure reasonable assurance of the integrity of payments</w:t>
      </w:r>
      <w:r>
        <w:rPr>
          <w:rFonts w:asciiTheme="minorHAnsi" w:hAnsiTheme="minorHAnsi"/>
          <w:sz w:val="22"/>
          <w:lang w:val="en-ZA"/>
        </w:rPr>
        <w:t>.</w:t>
      </w:r>
    </w:p>
    <w:p w14:paraId="52F4EF64" w14:textId="77777777" w:rsidR="006C36E6" w:rsidRDefault="006C36E6" w:rsidP="006C36E6">
      <w:pPr>
        <w:pStyle w:val="ListParagraph"/>
        <w:spacing w:before="100" w:after="100" w:line="240" w:lineRule="auto"/>
        <w:ind w:left="360"/>
        <w:rPr>
          <w:rFonts w:asciiTheme="minorHAnsi" w:hAnsiTheme="minorHAnsi"/>
          <w:sz w:val="22"/>
          <w:lang w:val="en-ZA"/>
        </w:rPr>
      </w:pPr>
    </w:p>
    <w:p w14:paraId="1990B143" w14:textId="77777777" w:rsidR="006C36E6" w:rsidRPr="006D6D23" w:rsidRDefault="006C36E6" w:rsidP="006C36E6">
      <w:pPr>
        <w:pStyle w:val="ListParagraph"/>
        <w:numPr>
          <w:ilvl w:val="0"/>
          <w:numId w:val="25"/>
        </w:numPr>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Review payment transactions in the program bank statement map and reconcile with the cash ledger, other bank account statements, human resource and payroll data, cash payment vouchers and other available supporting documents</w:t>
      </w:r>
      <w:r>
        <w:rPr>
          <w:rFonts w:asciiTheme="minorHAnsi" w:hAnsiTheme="minorHAnsi" w:cstheme="minorHAnsi"/>
          <w:sz w:val="22"/>
          <w:lang w:val="en-ZA"/>
        </w:rPr>
        <w:t>.</w:t>
      </w:r>
    </w:p>
    <w:p w14:paraId="5EED1A53" w14:textId="77777777" w:rsidR="006C36E6" w:rsidRPr="006D6D23" w:rsidRDefault="006C36E6" w:rsidP="006C36E6">
      <w:pPr>
        <w:pStyle w:val="ListParagraph"/>
        <w:spacing w:before="100" w:after="100" w:line="240" w:lineRule="auto"/>
        <w:ind w:left="360"/>
        <w:rPr>
          <w:rFonts w:asciiTheme="minorHAnsi" w:hAnsiTheme="minorHAnsi" w:cstheme="minorHAnsi"/>
          <w:sz w:val="22"/>
          <w:lang w:val="en-GB"/>
        </w:rPr>
      </w:pPr>
    </w:p>
    <w:p w14:paraId="4917CAD4" w14:textId="77777777" w:rsidR="006C36E6" w:rsidRPr="006D6D23" w:rsidRDefault="006C36E6" w:rsidP="006C36E6">
      <w:pPr>
        <w:pStyle w:val="ListParagraph"/>
        <w:spacing w:before="100" w:after="100" w:line="240" w:lineRule="auto"/>
        <w:rPr>
          <w:rFonts w:asciiTheme="minorHAnsi" w:hAnsiTheme="minorHAnsi" w:cstheme="minorHAnsi"/>
          <w:sz w:val="22"/>
          <w:lang w:val="en-GB"/>
        </w:rPr>
      </w:pPr>
    </w:p>
    <w:p w14:paraId="30CCF757" w14:textId="77777777" w:rsidR="006C36E6" w:rsidRPr="006D6D23" w:rsidRDefault="006C36E6" w:rsidP="002070AA">
      <w:pPr>
        <w:pStyle w:val="ListParagraph"/>
        <w:numPr>
          <w:ilvl w:val="0"/>
          <w:numId w:val="27"/>
        </w:numPr>
        <w:spacing w:before="100" w:after="100" w:line="240" w:lineRule="auto"/>
        <w:rPr>
          <w:rFonts w:asciiTheme="minorHAnsi" w:hAnsiTheme="minorHAnsi" w:cstheme="minorHAnsi"/>
          <w:b/>
          <w:sz w:val="22"/>
          <w:u w:val="single"/>
          <w:lang w:val="en-GB"/>
        </w:rPr>
      </w:pPr>
      <w:r w:rsidRPr="006D6D23">
        <w:rPr>
          <w:rFonts w:asciiTheme="minorHAnsi" w:hAnsiTheme="minorHAnsi" w:cstheme="minorHAnsi"/>
          <w:b/>
          <w:bCs/>
          <w:sz w:val="22"/>
          <w:u w:val="single"/>
          <w:lang w:val="en-GB"/>
        </w:rPr>
        <w:br w:type="page"/>
      </w:r>
      <w:r w:rsidRPr="006D6D23">
        <w:rPr>
          <w:rFonts w:asciiTheme="minorHAnsi" w:hAnsiTheme="minorHAnsi" w:cstheme="minorHAnsi"/>
          <w:b/>
          <w:sz w:val="22"/>
          <w:u w:val="single"/>
          <w:lang w:val="en-GB"/>
        </w:rPr>
        <w:lastRenderedPageBreak/>
        <w:t>Recommended procedures - Detailed approach and methodology</w:t>
      </w:r>
    </w:p>
    <w:p w14:paraId="423993A8" w14:textId="77777777" w:rsidR="006C36E6" w:rsidRPr="006D6D23" w:rsidRDefault="006C36E6" w:rsidP="006C36E6">
      <w:pPr>
        <w:pStyle w:val="ListParagraph"/>
        <w:spacing w:before="100" w:after="100" w:line="240" w:lineRule="auto"/>
        <w:ind w:left="360"/>
        <w:rPr>
          <w:rFonts w:asciiTheme="minorHAnsi" w:hAnsiTheme="minorHAnsi" w:cstheme="minorHAnsi"/>
          <w:b/>
          <w:sz w:val="22"/>
          <w:u w:val="single"/>
          <w:lang w:val="en-GB"/>
        </w:rPr>
      </w:pPr>
    </w:p>
    <w:tbl>
      <w:tblPr>
        <w:tblStyle w:val="TableGrid"/>
        <w:tblW w:w="5000" w:type="pct"/>
        <w:tblLook w:val="01E0" w:firstRow="1" w:lastRow="1" w:firstColumn="1" w:lastColumn="1" w:noHBand="0" w:noVBand="0"/>
      </w:tblPr>
      <w:tblGrid>
        <w:gridCol w:w="595"/>
        <w:gridCol w:w="2412"/>
        <w:gridCol w:w="6743"/>
      </w:tblGrid>
      <w:tr w:rsidR="006C36E6" w:rsidRPr="006D6D23" w14:paraId="487E8E20" w14:textId="77777777" w:rsidTr="00A63771">
        <w:trPr>
          <w:tblHeader/>
        </w:trPr>
        <w:tc>
          <w:tcPr>
            <w:tcW w:w="5000" w:type="pct"/>
            <w:gridSpan w:val="3"/>
          </w:tcPr>
          <w:p w14:paraId="35E25FB6" w14:textId="77777777" w:rsidR="006C36E6" w:rsidRPr="006D6D23" w:rsidRDefault="006C36E6" w:rsidP="006C36E6">
            <w:pPr>
              <w:pStyle w:val="ListParagraph"/>
              <w:numPr>
                <w:ilvl w:val="0"/>
                <w:numId w:val="28"/>
              </w:numPr>
              <w:spacing w:before="100" w:after="100" w:line="240" w:lineRule="auto"/>
              <w:rPr>
                <w:rFonts w:asciiTheme="minorHAnsi" w:eastAsia="Times New Roman" w:hAnsiTheme="minorHAnsi"/>
                <w:b/>
                <w:bCs/>
                <w:sz w:val="22"/>
              </w:rPr>
            </w:pPr>
            <w:r w:rsidRPr="12F55DBE">
              <w:rPr>
                <w:rFonts w:asciiTheme="minorHAnsi" w:hAnsiTheme="minorHAnsi"/>
                <w:sz w:val="22"/>
              </w:rPr>
              <w:t xml:space="preserve">Assess the controls over and validity of Grant Expenses </w:t>
            </w:r>
          </w:p>
        </w:tc>
      </w:tr>
      <w:tr w:rsidR="006C36E6" w:rsidRPr="006D6D23" w14:paraId="61BE0B23" w14:textId="77777777" w:rsidTr="00A63771">
        <w:trPr>
          <w:tblHeader/>
        </w:trPr>
        <w:tc>
          <w:tcPr>
            <w:tcW w:w="305" w:type="pct"/>
          </w:tcPr>
          <w:p w14:paraId="3A1F46A1" w14:textId="77777777"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b/>
                <w:sz w:val="22"/>
              </w:rPr>
            </w:pPr>
          </w:p>
        </w:tc>
        <w:tc>
          <w:tcPr>
            <w:tcW w:w="1237" w:type="pct"/>
          </w:tcPr>
          <w:p w14:paraId="5CE562A2" w14:textId="77777777"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b/>
                <w:sz w:val="22"/>
              </w:rPr>
            </w:pPr>
            <w:r w:rsidRPr="006D6D23">
              <w:rPr>
                <w:rFonts w:asciiTheme="minorHAnsi" w:eastAsia="Times New Roman" w:hAnsiTheme="minorHAnsi" w:cstheme="minorHAnsi"/>
                <w:b/>
                <w:sz w:val="22"/>
              </w:rPr>
              <w:t>Objective</w:t>
            </w:r>
          </w:p>
        </w:tc>
        <w:tc>
          <w:tcPr>
            <w:tcW w:w="3458" w:type="pct"/>
          </w:tcPr>
          <w:p w14:paraId="6705BA04" w14:textId="77777777" w:rsidR="006C36E6" w:rsidRPr="006D6D23" w:rsidRDefault="006C36E6" w:rsidP="00A63771">
            <w:pPr>
              <w:spacing w:before="100" w:after="100" w:line="240" w:lineRule="auto"/>
              <w:ind w:right="2729"/>
              <w:rPr>
                <w:rFonts w:asciiTheme="minorHAnsi" w:eastAsia="Times New Roman" w:hAnsiTheme="minorHAnsi" w:cstheme="minorHAnsi"/>
                <w:b/>
                <w:sz w:val="22"/>
              </w:rPr>
            </w:pPr>
            <w:r w:rsidRPr="006D6D23">
              <w:rPr>
                <w:rFonts w:asciiTheme="minorHAnsi" w:eastAsia="Times New Roman" w:hAnsiTheme="minorHAnsi" w:cstheme="minorHAnsi"/>
                <w:b/>
                <w:sz w:val="22"/>
              </w:rPr>
              <w:t xml:space="preserve">Recommended procedures </w:t>
            </w:r>
          </w:p>
        </w:tc>
      </w:tr>
      <w:tr w:rsidR="006C36E6" w:rsidRPr="006D6D23" w14:paraId="6158573B" w14:textId="77777777" w:rsidTr="00A63771">
        <w:tc>
          <w:tcPr>
            <w:tcW w:w="5000" w:type="pct"/>
            <w:gridSpan w:val="3"/>
          </w:tcPr>
          <w:p w14:paraId="52BE15D4" w14:textId="77777777" w:rsidR="006C36E6" w:rsidRPr="006D6D23" w:rsidRDefault="006C36E6" w:rsidP="00A63771">
            <w:pPr>
              <w:spacing w:before="100" w:after="100" w:line="240" w:lineRule="auto"/>
              <w:jc w:val="both"/>
              <w:rPr>
                <w:rFonts w:asciiTheme="minorHAnsi" w:hAnsiTheme="minorHAnsi" w:cstheme="minorHAnsi"/>
                <w:b/>
                <w:bCs/>
                <w:sz w:val="22"/>
                <w:lang w:val="en-GB"/>
              </w:rPr>
            </w:pPr>
            <w:r w:rsidRPr="006D6D23">
              <w:rPr>
                <w:rFonts w:asciiTheme="minorHAnsi" w:hAnsiTheme="minorHAnsi" w:cstheme="minorHAnsi"/>
                <w:b/>
                <w:bCs/>
                <w:sz w:val="22"/>
                <w:lang w:val="en-GB"/>
              </w:rPr>
              <w:t>Human Resource Costs</w:t>
            </w:r>
          </w:p>
        </w:tc>
      </w:tr>
      <w:tr w:rsidR="006C36E6" w:rsidRPr="006D6D23" w14:paraId="65700598" w14:textId="77777777" w:rsidTr="00A63771">
        <w:tc>
          <w:tcPr>
            <w:tcW w:w="305" w:type="pct"/>
          </w:tcPr>
          <w:p w14:paraId="15175DE2" w14:textId="77777777"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sz w:val="22"/>
              </w:rPr>
            </w:pPr>
            <w:r w:rsidRPr="006D6D23">
              <w:rPr>
                <w:rFonts w:asciiTheme="minorHAnsi" w:eastAsia="Times New Roman" w:hAnsiTheme="minorHAnsi" w:cstheme="minorHAnsi"/>
                <w:sz w:val="22"/>
              </w:rPr>
              <w:t>1</w:t>
            </w:r>
          </w:p>
        </w:tc>
        <w:tc>
          <w:tcPr>
            <w:tcW w:w="1237" w:type="pct"/>
          </w:tcPr>
          <w:p w14:paraId="3C796CB6" w14:textId="378CB84B" w:rsidR="006C36E6" w:rsidRPr="006D6D23" w:rsidRDefault="006C36E6" w:rsidP="00A63771">
            <w:pPr>
              <w:spacing w:before="100" w:after="100" w:line="240" w:lineRule="auto"/>
              <w:rPr>
                <w:rFonts w:asciiTheme="minorHAnsi" w:hAnsiTheme="minorHAnsi" w:cstheme="minorHAnsi"/>
                <w:sz w:val="22"/>
                <w:lang w:val="en-GB"/>
              </w:rPr>
            </w:pPr>
            <w:r w:rsidRPr="006D6D23">
              <w:rPr>
                <w:rFonts w:asciiTheme="minorHAnsi" w:hAnsiTheme="minorHAnsi" w:cstheme="minorHAnsi"/>
                <w:sz w:val="22"/>
                <w:lang w:val="en-GB"/>
              </w:rPr>
              <w:t xml:space="preserve">Verify that the Human </w:t>
            </w:r>
            <w:r>
              <w:rPr>
                <w:rFonts w:asciiTheme="minorHAnsi" w:hAnsiTheme="minorHAnsi" w:cstheme="minorHAnsi"/>
                <w:sz w:val="22"/>
                <w:lang w:val="en-GB"/>
              </w:rPr>
              <w:t>R</w:t>
            </w:r>
            <w:r w:rsidRPr="006D6D23">
              <w:rPr>
                <w:rFonts w:asciiTheme="minorHAnsi" w:hAnsiTheme="minorHAnsi" w:cstheme="minorHAnsi"/>
                <w:sz w:val="22"/>
                <w:lang w:val="en-GB"/>
              </w:rPr>
              <w:t xml:space="preserve">esource costs are compliant with </w:t>
            </w:r>
            <w:r>
              <w:rPr>
                <w:rFonts w:asciiTheme="minorHAnsi" w:hAnsiTheme="minorHAnsi" w:cstheme="minorHAnsi"/>
                <w:sz w:val="22"/>
                <w:lang w:val="en-GB"/>
              </w:rPr>
              <w:t>t</w:t>
            </w:r>
            <w:r w:rsidRPr="006D6D23">
              <w:rPr>
                <w:rFonts w:asciiTheme="minorHAnsi" w:hAnsiTheme="minorHAnsi" w:cstheme="minorHAnsi"/>
                <w:sz w:val="22"/>
                <w:lang w:val="en-GB"/>
              </w:rPr>
              <w:t>he Global Fund guidelines and that the expenses have been validly incurred</w:t>
            </w:r>
            <w:r>
              <w:rPr>
                <w:rFonts w:asciiTheme="minorHAnsi" w:hAnsiTheme="minorHAnsi" w:cstheme="minorHAnsi"/>
                <w:sz w:val="22"/>
                <w:lang w:val="en-GB"/>
              </w:rPr>
              <w:t xml:space="preserve"> - (Par. 1.1 and related Appendices of </w:t>
            </w:r>
            <w:hyperlink r:id="rId16" w:history="1">
              <w:r w:rsidRPr="005377EF">
                <w:rPr>
                  <w:rStyle w:val="Hyperlink"/>
                  <w:rFonts w:asciiTheme="minorHAnsi" w:hAnsiTheme="minorHAnsi" w:cstheme="minorHAnsi"/>
                  <w:sz w:val="22"/>
                  <w:lang w:val="en-GB"/>
                </w:rPr>
                <w:t>Operational Guidance for Grant Budgeting</w:t>
              </w:r>
            </w:hyperlink>
            <w:r>
              <w:rPr>
                <w:rFonts w:asciiTheme="minorHAnsi" w:hAnsiTheme="minorHAnsi" w:cstheme="minorHAnsi"/>
                <w:sz w:val="22"/>
                <w:lang w:val="en-GB"/>
              </w:rPr>
              <w:t>).</w:t>
            </w:r>
          </w:p>
        </w:tc>
        <w:tc>
          <w:tcPr>
            <w:tcW w:w="3458" w:type="pct"/>
          </w:tcPr>
          <w:p w14:paraId="194C5225" w14:textId="77777777" w:rsidR="006C36E6" w:rsidRPr="006D6D23" w:rsidRDefault="006C36E6" w:rsidP="00A63771">
            <w:pPr>
              <w:spacing w:before="100" w:after="100" w:line="240" w:lineRule="auto"/>
              <w:jc w:val="both"/>
              <w:rPr>
                <w:rFonts w:asciiTheme="minorHAnsi" w:hAnsiTheme="minorHAnsi" w:cstheme="minorHAnsi"/>
                <w:sz w:val="22"/>
                <w:lang w:val="en-GB"/>
              </w:rPr>
            </w:pPr>
            <w:r w:rsidRPr="003F5F0B">
              <w:rPr>
                <w:rFonts w:asciiTheme="minorHAnsi" w:hAnsiTheme="minorHAnsi" w:cstheme="minorHAnsi"/>
                <w:sz w:val="22"/>
              </w:rPr>
              <w:t>The assurance provider will verify that allowances paid from Global Fund resources align with the budgeted categories and the expenditure is consistent with the approved budget assumptions. The procedures to be followed may include:</w:t>
            </w:r>
          </w:p>
          <w:p w14:paraId="1FF8089F" w14:textId="77777777" w:rsidR="006C36E6" w:rsidRPr="006D6D23" w:rsidRDefault="006C36E6" w:rsidP="006C36E6">
            <w:pPr>
              <w:pStyle w:val="ListParagraph"/>
              <w:numPr>
                <w:ilvl w:val="0"/>
                <w:numId w:val="34"/>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Obtain and review the implementers HR policies and procedures based on best practice, applicable laws and regulations for consistency with TGF guidelines/requirements on Human Resource.</w:t>
            </w:r>
          </w:p>
          <w:p w14:paraId="096F7190" w14:textId="77777777" w:rsidR="006C36E6" w:rsidRPr="006D6D23" w:rsidRDefault="006C36E6" w:rsidP="006C36E6">
            <w:pPr>
              <w:pStyle w:val="ListParagraph"/>
              <w:numPr>
                <w:ilvl w:val="0"/>
                <w:numId w:val="34"/>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Obtain the payroll/Human Resource costs and verify that they were budgeted.  Check that:</w:t>
            </w:r>
          </w:p>
          <w:p w14:paraId="136464D3" w14:textId="77777777" w:rsidR="006C36E6" w:rsidRPr="006D6D23" w:rsidRDefault="006C36E6" w:rsidP="006C36E6">
            <w:pPr>
              <w:pStyle w:val="ListParagraph"/>
              <w:numPr>
                <w:ilvl w:val="0"/>
                <w:numId w:val="35"/>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Employer’s social security contributions</w:t>
            </w:r>
            <w:r>
              <w:rPr>
                <w:rFonts w:asciiTheme="minorHAnsi" w:hAnsiTheme="minorHAnsi" w:cstheme="minorHAnsi"/>
                <w:sz w:val="22"/>
              </w:rPr>
              <w:t xml:space="preserve"> </w:t>
            </w:r>
            <w:r w:rsidRPr="006D6D23">
              <w:rPr>
                <w:rFonts w:asciiTheme="minorHAnsi" w:hAnsiTheme="minorHAnsi" w:cstheme="minorHAnsi"/>
                <w:sz w:val="22"/>
              </w:rPr>
              <w:t xml:space="preserve">- </w:t>
            </w:r>
            <w:r>
              <w:rPr>
                <w:rFonts w:asciiTheme="minorHAnsi" w:hAnsiTheme="minorHAnsi" w:cstheme="minorHAnsi"/>
                <w:sz w:val="22"/>
              </w:rPr>
              <w:t>i</w:t>
            </w:r>
            <w:r w:rsidRPr="006D6D23">
              <w:rPr>
                <w:rFonts w:asciiTheme="minorHAnsi" w:hAnsiTheme="minorHAnsi" w:cstheme="minorHAnsi"/>
                <w:sz w:val="22"/>
              </w:rPr>
              <w:t>s in line with local labor laws</w:t>
            </w:r>
            <w:r>
              <w:rPr>
                <w:rFonts w:asciiTheme="minorHAnsi" w:hAnsiTheme="minorHAnsi" w:cstheme="minorHAnsi"/>
                <w:sz w:val="22"/>
              </w:rPr>
              <w:t>.</w:t>
            </w:r>
          </w:p>
          <w:p w14:paraId="0D7CBF62" w14:textId="77777777" w:rsidR="006C36E6" w:rsidRPr="006D6D23" w:rsidRDefault="006C36E6" w:rsidP="006C36E6">
            <w:pPr>
              <w:pStyle w:val="ListParagraph"/>
              <w:numPr>
                <w:ilvl w:val="0"/>
                <w:numId w:val="35"/>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Health insurance</w:t>
            </w:r>
            <w:r>
              <w:rPr>
                <w:rFonts w:asciiTheme="minorHAnsi" w:hAnsiTheme="minorHAnsi" w:cstheme="minorHAnsi"/>
                <w:sz w:val="22"/>
              </w:rPr>
              <w:t xml:space="preserve"> </w:t>
            </w:r>
            <w:r w:rsidRPr="006D6D23">
              <w:rPr>
                <w:rFonts w:asciiTheme="minorHAnsi" w:hAnsiTheme="minorHAnsi" w:cstheme="minorHAnsi"/>
                <w:sz w:val="22"/>
              </w:rPr>
              <w:t xml:space="preserve">- as required </w:t>
            </w:r>
            <w:r>
              <w:rPr>
                <w:rFonts w:asciiTheme="minorHAnsi" w:hAnsiTheme="minorHAnsi" w:cstheme="minorHAnsi"/>
                <w:sz w:val="22"/>
              </w:rPr>
              <w:t>by</w:t>
            </w:r>
            <w:r w:rsidRPr="006D6D23">
              <w:rPr>
                <w:rFonts w:asciiTheme="minorHAnsi" w:hAnsiTheme="minorHAnsi" w:cstheme="minorHAnsi"/>
                <w:sz w:val="22"/>
              </w:rPr>
              <w:t xml:space="preserve"> labor laws or a common local market practice</w:t>
            </w:r>
            <w:r>
              <w:rPr>
                <w:rFonts w:asciiTheme="minorHAnsi" w:hAnsiTheme="minorHAnsi" w:cstheme="minorHAnsi"/>
                <w:sz w:val="22"/>
              </w:rPr>
              <w:t>.</w:t>
            </w:r>
          </w:p>
          <w:p w14:paraId="05C6C615" w14:textId="77777777" w:rsidR="006C36E6" w:rsidRPr="006D6D23" w:rsidRDefault="006C36E6" w:rsidP="006C36E6">
            <w:pPr>
              <w:pStyle w:val="ListParagraph"/>
              <w:numPr>
                <w:ilvl w:val="0"/>
                <w:numId w:val="35"/>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Housing allowance</w:t>
            </w:r>
            <w:r>
              <w:rPr>
                <w:rFonts w:asciiTheme="minorHAnsi" w:hAnsiTheme="minorHAnsi" w:cstheme="minorHAnsi"/>
                <w:sz w:val="22"/>
              </w:rPr>
              <w:t xml:space="preserve"> </w:t>
            </w:r>
            <w:r w:rsidRPr="006D6D23">
              <w:rPr>
                <w:rFonts w:asciiTheme="minorHAnsi" w:hAnsiTheme="minorHAnsi" w:cstheme="minorHAnsi"/>
                <w:sz w:val="22"/>
              </w:rPr>
              <w:t xml:space="preserve">is part of </w:t>
            </w:r>
            <w:r>
              <w:rPr>
                <w:rFonts w:asciiTheme="minorHAnsi" w:hAnsiTheme="minorHAnsi" w:cstheme="minorHAnsi"/>
                <w:sz w:val="22"/>
              </w:rPr>
              <w:t xml:space="preserve">an </w:t>
            </w:r>
            <w:r w:rsidRPr="006D6D23">
              <w:rPr>
                <w:rFonts w:asciiTheme="minorHAnsi" w:hAnsiTheme="minorHAnsi" w:cstheme="minorHAnsi"/>
                <w:sz w:val="22"/>
              </w:rPr>
              <w:t xml:space="preserve">employee’s standard remuneration package </w:t>
            </w:r>
            <w:r>
              <w:rPr>
                <w:rFonts w:asciiTheme="minorHAnsi" w:hAnsiTheme="minorHAnsi" w:cstheme="minorHAnsi"/>
                <w:sz w:val="22"/>
              </w:rPr>
              <w:t xml:space="preserve">if this is </w:t>
            </w:r>
            <w:r w:rsidRPr="006D6D23">
              <w:rPr>
                <w:rFonts w:asciiTheme="minorHAnsi" w:hAnsiTheme="minorHAnsi" w:cstheme="minorHAnsi"/>
                <w:sz w:val="22"/>
              </w:rPr>
              <w:t>a common local market practice.</w:t>
            </w:r>
          </w:p>
          <w:p w14:paraId="35A9BEF0" w14:textId="77777777" w:rsidR="006C36E6" w:rsidRPr="006D6D23" w:rsidRDefault="006C36E6" w:rsidP="006C36E6">
            <w:pPr>
              <w:pStyle w:val="ListParagraph"/>
              <w:numPr>
                <w:ilvl w:val="0"/>
                <w:numId w:val="35"/>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Pension, gratuity or provident fund</w:t>
            </w:r>
            <w:r>
              <w:rPr>
                <w:rFonts w:asciiTheme="minorHAnsi" w:hAnsiTheme="minorHAnsi" w:cstheme="minorHAnsi"/>
                <w:sz w:val="22"/>
              </w:rPr>
              <w:t xml:space="preserve"> </w:t>
            </w:r>
            <w:r w:rsidRPr="006D6D23">
              <w:rPr>
                <w:rFonts w:asciiTheme="minorHAnsi" w:hAnsiTheme="minorHAnsi" w:cstheme="minorHAnsi"/>
                <w:sz w:val="22"/>
              </w:rPr>
              <w:t>- minimum contributions as required by law or in accordance with the organization’s policies</w:t>
            </w:r>
            <w:r>
              <w:rPr>
                <w:rFonts w:asciiTheme="minorHAnsi" w:hAnsiTheme="minorHAnsi" w:cstheme="minorHAnsi"/>
                <w:sz w:val="22"/>
              </w:rPr>
              <w:t>.</w:t>
            </w:r>
          </w:p>
          <w:p w14:paraId="4C0ED694" w14:textId="77777777" w:rsidR="006C36E6" w:rsidRPr="006D6D23" w:rsidRDefault="006C36E6" w:rsidP="006C36E6">
            <w:pPr>
              <w:pStyle w:val="ListParagraph"/>
              <w:numPr>
                <w:ilvl w:val="0"/>
                <w:numId w:val="35"/>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End of contract payment</w:t>
            </w:r>
            <w:r>
              <w:rPr>
                <w:rFonts w:asciiTheme="minorHAnsi" w:hAnsiTheme="minorHAnsi" w:cstheme="minorHAnsi"/>
                <w:sz w:val="22"/>
              </w:rPr>
              <w:t xml:space="preserve"> </w:t>
            </w:r>
            <w:r w:rsidRPr="006D6D23">
              <w:rPr>
                <w:rFonts w:asciiTheme="minorHAnsi" w:hAnsiTheme="minorHAnsi" w:cstheme="minorHAnsi"/>
                <w:sz w:val="22"/>
              </w:rPr>
              <w:t>- only if required under local labor law (and not just based on local market practice)</w:t>
            </w:r>
            <w:r>
              <w:rPr>
                <w:rFonts w:asciiTheme="minorHAnsi" w:hAnsiTheme="minorHAnsi" w:cstheme="minorHAnsi"/>
                <w:sz w:val="22"/>
              </w:rPr>
              <w:t>.</w:t>
            </w:r>
          </w:p>
          <w:p w14:paraId="704AB9FD" w14:textId="77777777" w:rsidR="006C36E6" w:rsidRPr="006D6D23" w:rsidRDefault="006C36E6" w:rsidP="006C36E6">
            <w:pPr>
              <w:pStyle w:val="ListParagraph"/>
              <w:numPr>
                <w:ilvl w:val="0"/>
                <w:numId w:val="35"/>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Severance is paid only when an employee’s contract is terminated where the termination is unanticipated and results from an actual or potential breach of an employment contract. Written approval from Global Fund is required for any termination payment using Grant Funds</w:t>
            </w:r>
          </w:p>
          <w:p w14:paraId="7DCE1106" w14:textId="77777777" w:rsidR="006C36E6" w:rsidRPr="006D6D23" w:rsidRDefault="006C36E6" w:rsidP="006C36E6">
            <w:pPr>
              <w:pStyle w:val="ListParagraph"/>
              <w:numPr>
                <w:ilvl w:val="0"/>
                <w:numId w:val="35"/>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If the implementer has been authorized to accrue severance under a Global Fund grant ceases to implement a Global Fund grant, the implementer may be authorized by the Global Fund in writing, to make necessary payments to ensure that all relevant legal obligations are met.   Any employees who will continue under the new grant will</w:t>
            </w:r>
            <w:r w:rsidRPr="006D6D23">
              <w:rPr>
                <w:rFonts w:asciiTheme="minorHAnsi" w:hAnsiTheme="minorHAnsi" w:cstheme="minorHAnsi"/>
                <w:b/>
                <w:bCs/>
                <w:sz w:val="22"/>
              </w:rPr>
              <w:t xml:space="preserve"> not</w:t>
            </w:r>
            <w:r w:rsidRPr="006D6D23">
              <w:rPr>
                <w:rFonts w:asciiTheme="minorHAnsi" w:hAnsiTheme="minorHAnsi" w:cstheme="minorHAnsi"/>
                <w:sz w:val="22"/>
              </w:rPr>
              <w:t xml:space="preserve"> be entitled to severance at the end of the current grant</w:t>
            </w:r>
            <w:r>
              <w:rPr>
                <w:rFonts w:asciiTheme="minorHAnsi" w:hAnsiTheme="minorHAnsi" w:cstheme="minorHAnsi"/>
                <w:sz w:val="22"/>
              </w:rPr>
              <w:t>.</w:t>
            </w:r>
          </w:p>
        </w:tc>
      </w:tr>
      <w:tr w:rsidR="006C36E6" w:rsidRPr="006D6D23" w14:paraId="38F6181A" w14:textId="77777777" w:rsidTr="00A63771">
        <w:tc>
          <w:tcPr>
            <w:tcW w:w="305" w:type="pct"/>
          </w:tcPr>
          <w:p w14:paraId="15938026" w14:textId="77777777"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sz w:val="22"/>
              </w:rPr>
            </w:pPr>
            <w:r w:rsidRPr="006D6D23">
              <w:rPr>
                <w:rFonts w:asciiTheme="minorHAnsi" w:eastAsia="Times New Roman" w:hAnsiTheme="minorHAnsi" w:cstheme="minorHAnsi"/>
                <w:sz w:val="22"/>
              </w:rPr>
              <w:t>2</w:t>
            </w:r>
          </w:p>
        </w:tc>
        <w:tc>
          <w:tcPr>
            <w:tcW w:w="1237" w:type="pct"/>
          </w:tcPr>
          <w:p w14:paraId="56A7E2CF" w14:textId="77777777" w:rsidR="006C36E6" w:rsidRPr="006D6D23" w:rsidRDefault="006C36E6" w:rsidP="00A63771">
            <w:pPr>
              <w:spacing w:before="100" w:after="100" w:line="240" w:lineRule="auto"/>
              <w:rPr>
                <w:rFonts w:asciiTheme="minorHAnsi" w:hAnsiTheme="minorHAnsi" w:cstheme="minorHAnsi"/>
                <w:color w:val="000000"/>
                <w:sz w:val="22"/>
              </w:rPr>
            </w:pPr>
            <w:r w:rsidRPr="006D6D23">
              <w:rPr>
                <w:rFonts w:asciiTheme="minorHAnsi" w:hAnsiTheme="minorHAnsi" w:cstheme="minorHAnsi"/>
                <w:color w:val="000000"/>
                <w:sz w:val="22"/>
              </w:rPr>
              <w:t xml:space="preserve">Verify that </w:t>
            </w:r>
            <w:r>
              <w:rPr>
                <w:rFonts w:asciiTheme="minorHAnsi" w:hAnsiTheme="minorHAnsi" w:cstheme="minorHAnsi"/>
                <w:color w:val="000000"/>
                <w:sz w:val="22"/>
              </w:rPr>
              <w:t>u</w:t>
            </w:r>
            <w:r w:rsidRPr="006D6D23">
              <w:rPr>
                <w:rFonts w:asciiTheme="minorHAnsi" w:hAnsiTheme="minorHAnsi" w:cstheme="minorHAnsi"/>
                <w:color w:val="000000"/>
                <w:sz w:val="22"/>
              </w:rPr>
              <w:t xml:space="preserve">nauthorized input to the payroll sub-ledgers is prevented and detected.  </w:t>
            </w:r>
          </w:p>
          <w:p w14:paraId="01B4F11A" w14:textId="77777777" w:rsidR="006C36E6" w:rsidRPr="006D6D23" w:rsidRDefault="006C36E6" w:rsidP="00A63771">
            <w:pPr>
              <w:spacing w:before="100" w:after="100" w:line="240" w:lineRule="auto"/>
              <w:rPr>
                <w:rFonts w:asciiTheme="minorHAnsi" w:hAnsiTheme="minorHAnsi" w:cstheme="minorHAnsi"/>
                <w:sz w:val="22"/>
              </w:rPr>
            </w:pPr>
          </w:p>
        </w:tc>
        <w:tc>
          <w:tcPr>
            <w:tcW w:w="3458" w:type="pct"/>
          </w:tcPr>
          <w:p w14:paraId="15921404" w14:textId="77777777" w:rsidR="006C36E6" w:rsidRPr="006D6D23" w:rsidRDefault="006C36E6" w:rsidP="00A63771">
            <w:p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The assurance provider confirms that access controls such as user ID’s and passwords are utilized and specific to each application. Confirm that:</w:t>
            </w:r>
          </w:p>
          <w:p w14:paraId="20169F52" w14:textId="77777777" w:rsidR="006C36E6" w:rsidRPr="006D6D23" w:rsidRDefault="006C36E6" w:rsidP="006C36E6">
            <w:pPr>
              <w:pStyle w:val="ListParagraph"/>
              <w:numPr>
                <w:ilvl w:val="0"/>
                <w:numId w:val="36"/>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 xml:space="preserve">Multiple failures to logon will invalidate the user ID and </w:t>
            </w:r>
            <w:proofErr w:type="gramStart"/>
            <w:r w:rsidRPr="006D6D23">
              <w:rPr>
                <w:rFonts w:asciiTheme="minorHAnsi" w:hAnsiTheme="minorHAnsi" w:cstheme="minorHAnsi"/>
                <w:sz w:val="22"/>
              </w:rPr>
              <w:t>is</w:t>
            </w:r>
            <w:proofErr w:type="gramEnd"/>
            <w:r w:rsidRPr="006D6D23">
              <w:rPr>
                <w:rFonts w:asciiTheme="minorHAnsi" w:hAnsiTheme="minorHAnsi" w:cstheme="minorHAnsi"/>
                <w:sz w:val="22"/>
              </w:rPr>
              <w:t xml:space="preserve"> reported via an exception report for investigation by management. </w:t>
            </w:r>
          </w:p>
          <w:p w14:paraId="1EEACA4F" w14:textId="77777777" w:rsidR="006C36E6" w:rsidRPr="006D6D23" w:rsidRDefault="006C36E6" w:rsidP="006C36E6">
            <w:pPr>
              <w:pStyle w:val="ListParagraph"/>
              <w:numPr>
                <w:ilvl w:val="0"/>
                <w:numId w:val="36"/>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Formal authorization by application owner is</w:t>
            </w:r>
            <w:r>
              <w:rPr>
                <w:rFonts w:asciiTheme="minorHAnsi" w:hAnsiTheme="minorHAnsi" w:cstheme="minorHAnsi"/>
                <w:sz w:val="22"/>
              </w:rPr>
              <w:t xml:space="preserve"> </w:t>
            </w:r>
            <w:r w:rsidRPr="006D6D23">
              <w:rPr>
                <w:rFonts w:asciiTheme="minorHAnsi" w:hAnsiTheme="minorHAnsi" w:cstheme="minorHAnsi"/>
                <w:sz w:val="22"/>
              </w:rPr>
              <w:t xml:space="preserve">required for access to the payroll module of the system. </w:t>
            </w:r>
          </w:p>
          <w:p w14:paraId="305FF10C" w14:textId="77777777" w:rsidR="006C36E6" w:rsidRPr="006D6D23" w:rsidRDefault="006C36E6" w:rsidP="006C36E6">
            <w:pPr>
              <w:pStyle w:val="ListParagraph"/>
              <w:numPr>
                <w:ilvl w:val="0"/>
                <w:numId w:val="36"/>
              </w:numPr>
              <w:spacing w:before="100" w:after="100" w:line="240" w:lineRule="auto"/>
              <w:jc w:val="both"/>
              <w:rPr>
                <w:rFonts w:asciiTheme="minorHAnsi" w:hAnsiTheme="minorHAnsi"/>
                <w:sz w:val="22"/>
              </w:rPr>
            </w:pPr>
            <w:r w:rsidRPr="12F55DBE">
              <w:rPr>
                <w:rFonts w:asciiTheme="minorHAnsi" w:hAnsiTheme="minorHAnsi"/>
                <w:sz w:val="22"/>
              </w:rPr>
              <w:lastRenderedPageBreak/>
              <w:t>Management reviews access rights periodically so that only authorized individuals have access and for segregation of duties.</w:t>
            </w:r>
          </w:p>
          <w:p w14:paraId="6BAF239C" w14:textId="77777777" w:rsidR="006C36E6" w:rsidRPr="006D6D23" w:rsidRDefault="006C36E6" w:rsidP="006C36E6">
            <w:pPr>
              <w:pStyle w:val="ListParagraph"/>
              <w:numPr>
                <w:ilvl w:val="0"/>
                <w:numId w:val="36"/>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Discrepancies and exceptions are promptly investigated</w:t>
            </w:r>
          </w:p>
        </w:tc>
      </w:tr>
      <w:tr w:rsidR="006C36E6" w:rsidRPr="006D6D23" w14:paraId="18AC2366" w14:textId="77777777" w:rsidTr="00A63771">
        <w:tc>
          <w:tcPr>
            <w:tcW w:w="305" w:type="pct"/>
          </w:tcPr>
          <w:p w14:paraId="54075DCF" w14:textId="77777777"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sz w:val="22"/>
              </w:rPr>
            </w:pPr>
            <w:r w:rsidRPr="006D6D23">
              <w:rPr>
                <w:rFonts w:asciiTheme="minorHAnsi" w:eastAsia="Times New Roman" w:hAnsiTheme="minorHAnsi" w:cstheme="minorHAnsi"/>
                <w:sz w:val="22"/>
              </w:rPr>
              <w:lastRenderedPageBreak/>
              <w:t>3</w:t>
            </w:r>
          </w:p>
        </w:tc>
        <w:tc>
          <w:tcPr>
            <w:tcW w:w="1237" w:type="pct"/>
          </w:tcPr>
          <w:p w14:paraId="39A6A92A" w14:textId="77777777" w:rsidR="006C36E6" w:rsidRPr="006D6D23" w:rsidRDefault="006C36E6" w:rsidP="00A63771">
            <w:pPr>
              <w:spacing w:before="100" w:after="100" w:line="240" w:lineRule="auto"/>
              <w:rPr>
                <w:rFonts w:asciiTheme="minorHAnsi" w:hAnsiTheme="minorHAnsi"/>
                <w:color w:val="000000"/>
                <w:sz w:val="22"/>
              </w:rPr>
            </w:pPr>
            <w:r w:rsidRPr="12F55DBE">
              <w:rPr>
                <w:rFonts w:asciiTheme="minorHAnsi" w:hAnsiTheme="minorHAnsi"/>
                <w:color w:val="000000" w:themeColor="text1"/>
                <w:sz w:val="22"/>
              </w:rPr>
              <w:t>Confirm that for payroll calculation- Gross Pay and applicable deductions are complete</w:t>
            </w:r>
            <w:r>
              <w:rPr>
                <w:rFonts w:asciiTheme="minorHAnsi" w:hAnsiTheme="minorHAnsi"/>
                <w:color w:val="000000" w:themeColor="text1"/>
                <w:sz w:val="22"/>
              </w:rPr>
              <w:t>.</w:t>
            </w:r>
          </w:p>
        </w:tc>
        <w:tc>
          <w:tcPr>
            <w:tcW w:w="3458" w:type="pct"/>
          </w:tcPr>
          <w:p w14:paraId="49B4775D" w14:textId="77777777" w:rsidR="006C36E6" w:rsidRPr="006D6D23" w:rsidRDefault="006C36E6" w:rsidP="00A63771">
            <w:p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Verify:</w:t>
            </w:r>
          </w:p>
          <w:p w14:paraId="2B541316" w14:textId="77777777" w:rsidR="006C36E6" w:rsidRPr="006D6D23" w:rsidRDefault="006C36E6" w:rsidP="006C36E6">
            <w:pPr>
              <w:pStyle w:val="ListParagraph"/>
              <w:numPr>
                <w:ilvl w:val="0"/>
                <w:numId w:val="37"/>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Computer validation routines are in place to verify the completeness and accuracy of deductions applied.</w:t>
            </w:r>
          </w:p>
          <w:p w14:paraId="536D06D6" w14:textId="77777777" w:rsidR="006C36E6" w:rsidRPr="006D6D23" w:rsidRDefault="006C36E6" w:rsidP="006C36E6">
            <w:pPr>
              <w:pStyle w:val="ListParagraph"/>
              <w:numPr>
                <w:ilvl w:val="0"/>
                <w:numId w:val="37"/>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Recorded amounts are compared to budgeted amounts and prior-period amounts.  Unusual items are researched and corrected as necessary.</w:t>
            </w:r>
          </w:p>
        </w:tc>
      </w:tr>
      <w:tr w:rsidR="006C36E6" w:rsidRPr="006D6D23" w14:paraId="6B71EC07" w14:textId="77777777" w:rsidTr="00A63771">
        <w:tc>
          <w:tcPr>
            <w:tcW w:w="305" w:type="pct"/>
          </w:tcPr>
          <w:p w14:paraId="1ED6C9DD" w14:textId="77777777"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sz w:val="22"/>
              </w:rPr>
            </w:pPr>
            <w:r w:rsidRPr="006D6D23">
              <w:rPr>
                <w:rFonts w:asciiTheme="minorHAnsi" w:eastAsia="Times New Roman" w:hAnsiTheme="minorHAnsi" w:cstheme="minorHAnsi"/>
                <w:sz w:val="22"/>
              </w:rPr>
              <w:t>4</w:t>
            </w:r>
          </w:p>
        </w:tc>
        <w:tc>
          <w:tcPr>
            <w:tcW w:w="1237" w:type="pct"/>
          </w:tcPr>
          <w:p w14:paraId="310AD38A" w14:textId="77777777" w:rsidR="006C36E6" w:rsidRPr="006D6D23" w:rsidRDefault="006C36E6" w:rsidP="00A63771">
            <w:pPr>
              <w:spacing w:before="100" w:after="100" w:line="240" w:lineRule="auto"/>
              <w:rPr>
                <w:rFonts w:asciiTheme="minorHAnsi" w:hAnsiTheme="minorHAnsi" w:cstheme="minorHAnsi"/>
                <w:color w:val="000000"/>
                <w:sz w:val="22"/>
              </w:rPr>
            </w:pPr>
            <w:r w:rsidRPr="006D6D23">
              <w:rPr>
                <w:rFonts w:asciiTheme="minorHAnsi" w:hAnsiTheme="minorHAnsi" w:cstheme="minorHAnsi"/>
                <w:color w:val="000000"/>
                <w:sz w:val="22"/>
              </w:rPr>
              <w:t>Verify that Payroll payments are made to the proper employee or other recipient.</w:t>
            </w:r>
          </w:p>
        </w:tc>
        <w:tc>
          <w:tcPr>
            <w:tcW w:w="3458" w:type="pct"/>
          </w:tcPr>
          <w:p w14:paraId="07622E14" w14:textId="77777777" w:rsidR="006C36E6" w:rsidRPr="006D6D23" w:rsidRDefault="006C36E6" w:rsidP="00A63771">
            <w:p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Check that:</w:t>
            </w:r>
          </w:p>
          <w:p w14:paraId="5C8E59AE" w14:textId="77777777" w:rsidR="006C36E6" w:rsidRPr="006D6D23" w:rsidRDefault="006C36E6" w:rsidP="006C36E6">
            <w:pPr>
              <w:pStyle w:val="ListParagraph"/>
              <w:numPr>
                <w:ilvl w:val="0"/>
                <w:numId w:val="30"/>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Employee names and other applicable information (i.e., address, bank account) for</w:t>
            </w:r>
            <w:r>
              <w:rPr>
                <w:rFonts w:asciiTheme="minorHAnsi" w:hAnsiTheme="minorHAnsi" w:cstheme="minorHAnsi"/>
                <w:sz w:val="22"/>
              </w:rPr>
              <w:t xml:space="preserve"> </w:t>
            </w:r>
            <w:r w:rsidRPr="00EF12E0">
              <w:rPr>
                <w:rFonts w:asciiTheme="minorHAnsi" w:hAnsiTheme="minorHAnsi" w:cstheme="minorHAnsi"/>
                <w:sz w:val="22"/>
              </w:rPr>
              <w:t>Electronic Funds Transfer</w:t>
            </w:r>
            <w:r w:rsidRPr="006D6D23">
              <w:rPr>
                <w:rFonts w:asciiTheme="minorHAnsi" w:hAnsiTheme="minorHAnsi" w:cstheme="minorHAnsi"/>
                <w:sz w:val="22"/>
              </w:rPr>
              <w:t xml:space="preserve"> </w:t>
            </w:r>
            <w:r>
              <w:rPr>
                <w:rFonts w:asciiTheme="minorHAnsi" w:hAnsiTheme="minorHAnsi" w:cstheme="minorHAnsi"/>
                <w:sz w:val="22"/>
              </w:rPr>
              <w:t>(</w:t>
            </w:r>
            <w:r w:rsidRPr="006D6D23">
              <w:rPr>
                <w:rFonts w:asciiTheme="minorHAnsi" w:hAnsiTheme="minorHAnsi" w:cstheme="minorHAnsi"/>
                <w:sz w:val="22"/>
              </w:rPr>
              <w:t>EFT</w:t>
            </w:r>
            <w:r>
              <w:rPr>
                <w:rFonts w:asciiTheme="minorHAnsi" w:hAnsiTheme="minorHAnsi" w:cstheme="minorHAnsi"/>
                <w:sz w:val="22"/>
              </w:rPr>
              <w:t>)</w:t>
            </w:r>
            <w:r w:rsidRPr="006D6D23">
              <w:rPr>
                <w:rFonts w:asciiTheme="minorHAnsi" w:hAnsiTheme="minorHAnsi" w:cstheme="minorHAnsi"/>
                <w:sz w:val="22"/>
              </w:rPr>
              <w:t xml:space="preserve"> or actual cheque processing are pulled by the system from Employee Master File.</w:t>
            </w:r>
          </w:p>
          <w:p w14:paraId="5C134CB0" w14:textId="77777777" w:rsidR="006C36E6" w:rsidRPr="006D6D23" w:rsidRDefault="006C36E6" w:rsidP="006C36E6">
            <w:pPr>
              <w:pStyle w:val="ListParagraph"/>
              <w:numPr>
                <w:ilvl w:val="0"/>
                <w:numId w:val="30"/>
              </w:numPr>
              <w:spacing w:before="100" w:after="100" w:line="240" w:lineRule="auto"/>
              <w:jc w:val="both"/>
              <w:rPr>
                <w:rFonts w:asciiTheme="minorHAnsi" w:hAnsiTheme="minorHAnsi" w:cstheme="minorHAnsi"/>
                <w:sz w:val="22"/>
              </w:rPr>
            </w:pPr>
            <w:r w:rsidRPr="002B6569">
              <w:rPr>
                <w:rFonts w:asciiTheme="minorHAnsi" w:hAnsiTheme="minorHAnsi" w:cstheme="minorHAnsi"/>
                <w:sz w:val="22"/>
              </w:rPr>
              <w:t xml:space="preserve">For changes in certain types of standing data and /or changes outside certain parameters the system produces a report of these changes and is forwarded to management for their review.  Acceptance of these changes by the system is dependent upon management review of supporting documentation and approval.  </w:t>
            </w:r>
          </w:p>
        </w:tc>
      </w:tr>
      <w:tr w:rsidR="006C36E6" w:rsidRPr="006D6D23" w14:paraId="0F332ABA" w14:textId="77777777" w:rsidTr="00A63771">
        <w:tc>
          <w:tcPr>
            <w:tcW w:w="5000" w:type="pct"/>
            <w:gridSpan w:val="3"/>
          </w:tcPr>
          <w:p w14:paraId="0C78BE8F" w14:textId="77777777" w:rsidR="006C36E6" w:rsidRPr="006D6D23" w:rsidRDefault="006C36E6" w:rsidP="00A63771">
            <w:pPr>
              <w:spacing w:before="100" w:after="100" w:line="240" w:lineRule="auto"/>
              <w:jc w:val="both"/>
              <w:rPr>
                <w:rFonts w:asciiTheme="minorHAnsi" w:hAnsiTheme="minorHAnsi" w:cstheme="minorHAnsi"/>
                <w:b/>
                <w:bCs/>
                <w:sz w:val="22"/>
              </w:rPr>
            </w:pPr>
            <w:proofErr w:type="gramStart"/>
            <w:r w:rsidRPr="006D6D23">
              <w:rPr>
                <w:rFonts w:asciiTheme="minorHAnsi" w:hAnsiTheme="minorHAnsi" w:cstheme="minorHAnsi"/>
                <w:b/>
                <w:bCs/>
                <w:sz w:val="22"/>
              </w:rPr>
              <w:t>Travel related</w:t>
            </w:r>
            <w:proofErr w:type="gramEnd"/>
            <w:r w:rsidRPr="006D6D23">
              <w:rPr>
                <w:rFonts w:asciiTheme="minorHAnsi" w:hAnsiTheme="minorHAnsi" w:cstheme="minorHAnsi"/>
                <w:b/>
                <w:bCs/>
                <w:sz w:val="22"/>
              </w:rPr>
              <w:t xml:space="preserve"> Costs</w:t>
            </w:r>
            <w:r>
              <w:rPr>
                <w:rFonts w:asciiTheme="minorHAnsi" w:hAnsiTheme="minorHAnsi" w:cstheme="minorHAnsi"/>
                <w:b/>
                <w:bCs/>
                <w:sz w:val="22"/>
              </w:rPr>
              <w:t xml:space="preserve"> (TRC)</w:t>
            </w:r>
          </w:p>
        </w:tc>
      </w:tr>
      <w:tr w:rsidR="006C36E6" w:rsidRPr="006D6D23" w14:paraId="3475E1D7" w14:textId="77777777" w:rsidTr="00A63771">
        <w:tc>
          <w:tcPr>
            <w:tcW w:w="305" w:type="pct"/>
          </w:tcPr>
          <w:p w14:paraId="38FACC94" w14:textId="77777777"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sz w:val="22"/>
              </w:rPr>
            </w:pPr>
            <w:r w:rsidRPr="006D6D23">
              <w:rPr>
                <w:rFonts w:asciiTheme="minorHAnsi" w:eastAsia="Times New Roman" w:hAnsiTheme="minorHAnsi" w:cstheme="minorHAnsi"/>
                <w:sz w:val="22"/>
              </w:rPr>
              <w:t>5</w:t>
            </w:r>
          </w:p>
        </w:tc>
        <w:tc>
          <w:tcPr>
            <w:tcW w:w="1237" w:type="pct"/>
          </w:tcPr>
          <w:p w14:paraId="08872DA6" w14:textId="77777777" w:rsidR="006C36E6" w:rsidRPr="006D6D23" w:rsidRDefault="006C36E6" w:rsidP="00A63771">
            <w:pPr>
              <w:spacing w:before="100" w:after="100" w:line="240" w:lineRule="auto"/>
              <w:rPr>
                <w:rFonts w:asciiTheme="minorHAnsi" w:hAnsiTheme="minorHAnsi" w:cstheme="minorHAnsi"/>
                <w:sz w:val="22"/>
                <w:lang w:val="en-GB"/>
              </w:rPr>
            </w:pPr>
            <w:r w:rsidRPr="006D6D23">
              <w:rPr>
                <w:rFonts w:asciiTheme="minorHAnsi" w:hAnsiTheme="minorHAnsi" w:cstheme="minorHAnsi"/>
                <w:sz w:val="22"/>
                <w:lang w:val="en-GB"/>
              </w:rPr>
              <w:t>Confirm that the</w:t>
            </w:r>
            <w:r>
              <w:rPr>
                <w:rFonts w:asciiTheme="minorHAnsi" w:hAnsiTheme="minorHAnsi" w:cstheme="minorHAnsi"/>
                <w:sz w:val="22"/>
                <w:lang w:val="en-GB"/>
              </w:rPr>
              <w:t>re</w:t>
            </w:r>
            <w:r w:rsidRPr="006D6D23">
              <w:rPr>
                <w:rFonts w:asciiTheme="minorHAnsi" w:hAnsiTheme="minorHAnsi" w:cstheme="minorHAnsi"/>
                <w:sz w:val="22"/>
                <w:lang w:val="en-GB"/>
              </w:rPr>
              <w:t xml:space="preserve"> are controls around travel related costs and the expense</w:t>
            </w:r>
            <w:r>
              <w:rPr>
                <w:rFonts w:asciiTheme="minorHAnsi" w:hAnsiTheme="minorHAnsi" w:cstheme="minorHAnsi"/>
                <w:sz w:val="22"/>
                <w:lang w:val="en-GB"/>
              </w:rPr>
              <w:t>s</w:t>
            </w:r>
            <w:r w:rsidRPr="006D6D23">
              <w:rPr>
                <w:rFonts w:asciiTheme="minorHAnsi" w:hAnsiTheme="minorHAnsi" w:cstheme="minorHAnsi"/>
                <w:sz w:val="22"/>
                <w:lang w:val="en-GB"/>
              </w:rPr>
              <w:t xml:space="preserve"> reported in this category </w:t>
            </w:r>
            <w:r>
              <w:rPr>
                <w:rFonts w:asciiTheme="minorHAnsi" w:hAnsiTheme="minorHAnsi" w:cstheme="minorHAnsi"/>
                <w:sz w:val="22"/>
                <w:lang w:val="en-GB"/>
              </w:rPr>
              <w:t>are</w:t>
            </w:r>
            <w:r w:rsidRPr="006D6D23">
              <w:rPr>
                <w:rFonts w:asciiTheme="minorHAnsi" w:hAnsiTheme="minorHAnsi" w:cstheme="minorHAnsi"/>
                <w:sz w:val="22"/>
                <w:lang w:val="en-GB"/>
              </w:rPr>
              <w:t xml:space="preserve"> compliant</w:t>
            </w:r>
          </w:p>
          <w:p w14:paraId="44EEF1A7" w14:textId="116A44B2" w:rsidR="006C36E6" w:rsidRPr="006D6D23" w:rsidRDefault="006C36E6" w:rsidP="00A63771">
            <w:pPr>
              <w:spacing w:before="100" w:after="100" w:line="240" w:lineRule="auto"/>
              <w:rPr>
                <w:rFonts w:asciiTheme="minorHAnsi" w:hAnsiTheme="minorHAnsi" w:cstheme="minorHAnsi"/>
                <w:sz w:val="22"/>
                <w:lang w:val="en-GB"/>
              </w:rPr>
            </w:pPr>
            <w:r>
              <w:rPr>
                <w:rFonts w:asciiTheme="minorHAnsi" w:hAnsiTheme="minorHAnsi" w:cstheme="minorHAnsi"/>
                <w:sz w:val="22"/>
                <w:lang w:val="en-GB"/>
              </w:rPr>
              <w:t xml:space="preserve">(Par. 1.2 and related Appendices of </w:t>
            </w:r>
            <w:hyperlink r:id="rId17" w:history="1">
              <w:r w:rsidRPr="007C2BBC">
                <w:rPr>
                  <w:rStyle w:val="Hyperlink"/>
                  <w:rFonts w:asciiTheme="minorHAnsi" w:hAnsiTheme="minorHAnsi" w:cstheme="minorHAnsi"/>
                  <w:sz w:val="22"/>
                  <w:lang w:val="en-GB"/>
                </w:rPr>
                <w:t>Operational Guidance for Grant Budgeting</w:t>
              </w:r>
            </w:hyperlink>
            <w:r>
              <w:rPr>
                <w:rFonts w:asciiTheme="minorHAnsi" w:hAnsiTheme="minorHAnsi" w:cstheme="minorHAnsi"/>
                <w:sz w:val="22"/>
                <w:lang w:val="en-GB"/>
              </w:rPr>
              <w:t>)</w:t>
            </w:r>
          </w:p>
        </w:tc>
        <w:tc>
          <w:tcPr>
            <w:tcW w:w="3458" w:type="pct"/>
          </w:tcPr>
          <w:p w14:paraId="1DB95DED" w14:textId="77777777" w:rsidR="006C36E6" w:rsidRPr="006D6D23" w:rsidRDefault="006C36E6" w:rsidP="00A63771">
            <w:pPr>
              <w:spacing w:before="100" w:after="100" w:line="240" w:lineRule="auto"/>
              <w:jc w:val="both"/>
              <w:rPr>
                <w:rFonts w:asciiTheme="minorHAnsi" w:hAnsiTheme="minorHAnsi" w:cstheme="minorHAnsi"/>
                <w:sz w:val="22"/>
              </w:rPr>
            </w:pPr>
            <w:r>
              <w:rPr>
                <w:rFonts w:asciiTheme="minorHAnsi" w:hAnsiTheme="minorHAnsi" w:cstheme="minorHAnsi"/>
                <w:sz w:val="22"/>
              </w:rPr>
              <w:t>Verify that:</w:t>
            </w:r>
          </w:p>
          <w:p w14:paraId="6B5500CC" w14:textId="77777777" w:rsidR="006C36E6" w:rsidRPr="001A58CF" w:rsidRDefault="006C36E6" w:rsidP="006C36E6">
            <w:pPr>
              <w:pStyle w:val="ListParagraph"/>
              <w:numPr>
                <w:ilvl w:val="0"/>
                <w:numId w:val="31"/>
              </w:numPr>
              <w:spacing w:before="100" w:after="100" w:line="240" w:lineRule="auto"/>
              <w:rPr>
                <w:rFonts w:asciiTheme="minorHAnsi" w:hAnsiTheme="minorHAnsi" w:cstheme="minorHAnsi"/>
                <w:sz w:val="22"/>
              </w:rPr>
            </w:pPr>
            <w:r w:rsidRPr="001A58CF">
              <w:rPr>
                <w:rFonts w:asciiTheme="minorHAnsi" w:hAnsiTheme="minorHAnsi" w:cstheme="minorHAnsi"/>
                <w:sz w:val="22"/>
              </w:rPr>
              <w:t>The training activities are conducted as outlined in the approved training plan and</w:t>
            </w:r>
            <w:r>
              <w:rPr>
                <w:rFonts w:asciiTheme="minorHAnsi" w:hAnsiTheme="minorHAnsi" w:cstheme="minorHAnsi"/>
                <w:sz w:val="22"/>
              </w:rPr>
              <w:t xml:space="preserve"> ensuring value for money on associated TRC.</w:t>
            </w:r>
          </w:p>
          <w:p w14:paraId="370C78B0" w14:textId="77777777" w:rsidR="006C36E6" w:rsidRPr="001A58CF" w:rsidRDefault="006C36E6" w:rsidP="006C36E6">
            <w:pPr>
              <w:pStyle w:val="ListParagraph"/>
              <w:numPr>
                <w:ilvl w:val="0"/>
                <w:numId w:val="31"/>
              </w:numPr>
              <w:spacing w:before="100" w:after="100" w:line="240" w:lineRule="auto"/>
              <w:rPr>
                <w:rFonts w:asciiTheme="minorHAnsi" w:hAnsiTheme="minorHAnsi" w:cstheme="minorHAnsi"/>
                <w:sz w:val="22"/>
              </w:rPr>
            </w:pPr>
            <w:r w:rsidRPr="001A58CF">
              <w:rPr>
                <w:rFonts w:asciiTheme="minorHAnsi" w:hAnsiTheme="minorHAnsi" w:cstheme="minorHAnsi"/>
                <w:sz w:val="22"/>
              </w:rPr>
              <w:t xml:space="preserve">The implementer’s existing policies, particularly those related to travel costs, </w:t>
            </w:r>
            <w:r>
              <w:rPr>
                <w:rFonts w:asciiTheme="minorHAnsi" w:hAnsiTheme="minorHAnsi" w:cstheme="minorHAnsi"/>
                <w:sz w:val="22"/>
              </w:rPr>
              <w:t>are</w:t>
            </w:r>
            <w:r w:rsidRPr="001A58CF">
              <w:rPr>
                <w:rFonts w:asciiTheme="minorHAnsi" w:hAnsiTheme="minorHAnsi" w:cstheme="minorHAnsi"/>
                <w:sz w:val="22"/>
              </w:rPr>
              <w:t xml:space="preserve"> aligned across all Global Fund grants managed by the same implementer and, where possible, harmonized with policies from other donors.</w:t>
            </w:r>
          </w:p>
          <w:p w14:paraId="747EC509" w14:textId="77777777" w:rsidR="006C36E6" w:rsidRPr="006D6D23" w:rsidRDefault="006C36E6" w:rsidP="006C36E6">
            <w:pPr>
              <w:pStyle w:val="ListParagraph"/>
              <w:numPr>
                <w:ilvl w:val="0"/>
                <w:numId w:val="31"/>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TRC reflects the real cost incurred by the employee and should not contain any element of additional remuneration.</w:t>
            </w:r>
          </w:p>
          <w:p w14:paraId="3E59E6F3" w14:textId="77777777" w:rsidR="006C36E6" w:rsidRPr="006D6D23" w:rsidRDefault="006C36E6" w:rsidP="006C36E6">
            <w:pPr>
              <w:pStyle w:val="ListParagraph"/>
              <w:numPr>
                <w:ilvl w:val="0"/>
                <w:numId w:val="31"/>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 xml:space="preserve">Air travel </w:t>
            </w:r>
            <w:r>
              <w:rPr>
                <w:rFonts w:asciiTheme="minorHAnsi" w:hAnsiTheme="minorHAnsi" w:cstheme="minorHAnsi"/>
                <w:sz w:val="22"/>
              </w:rPr>
              <w:t>is</w:t>
            </w:r>
            <w:r w:rsidRPr="006D6D23">
              <w:rPr>
                <w:rFonts w:asciiTheme="minorHAnsi" w:hAnsiTheme="minorHAnsi" w:cstheme="minorHAnsi"/>
                <w:sz w:val="22"/>
              </w:rPr>
              <w:t xml:space="preserve"> kept to a minimum but, if required, must be restricted to economy class only. The use of discounts and web-based airfare is encouraged</w:t>
            </w:r>
            <w:r>
              <w:rPr>
                <w:rFonts w:asciiTheme="minorHAnsi" w:hAnsiTheme="minorHAnsi" w:cstheme="minorHAnsi"/>
                <w:sz w:val="22"/>
              </w:rPr>
              <w:t>.</w:t>
            </w:r>
          </w:p>
          <w:p w14:paraId="19FDDBB6" w14:textId="77777777" w:rsidR="006C36E6" w:rsidRPr="006D6D23" w:rsidRDefault="006C36E6" w:rsidP="006C36E6">
            <w:pPr>
              <w:pStyle w:val="ListParagraph"/>
              <w:numPr>
                <w:ilvl w:val="0"/>
                <w:numId w:val="31"/>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Where private vehicles are used, fuel costs are reimbursed based on agreed mileage rates set by the government or based on rates established by the implementer that are consistent (as determined by the Global Fund), with the price of fuel and average fuel consumed based on the distance of the journey</w:t>
            </w:r>
          </w:p>
          <w:p w14:paraId="3AE28A04" w14:textId="77777777" w:rsidR="006C36E6" w:rsidRPr="006D6D23" w:rsidRDefault="006C36E6" w:rsidP="006C36E6">
            <w:pPr>
              <w:pStyle w:val="ListParagraph"/>
              <w:numPr>
                <w:ilvl w:val="0"/>
                <w:numId w:val="31"/>
              </w:numPr>
              <w:spacing w:before="100" w:after="100" w:line="240" w:lineRule="auto"/>
              <w:jc w:val="both"/>
              <w:rPr>
                <w:rFonts w:asciiTheme="minorHAnsi" w:hAnsiTheme="minorHAnsi" w:cstheme="minorHAnsi"/>
                <w:sz w:val="22"/>
              </w:rPr>
            </w:pPr>
            <w:r w:rsidRPr="00BF164E">
              <w:rPr>
                <w:rFonts w:asciiTheme="minorHAnsi" w:hAnsiTheme="minorHAnsi" w:cstheme="minorHAnsi"/>
                <w:sz w:val="22"/>
              </w:rPr>
              <w:t>Daily Subsistence Allowances</w:t>
            </w:r>
            <w:r>
              <w:rPr>
                <w:rFonts w:asciiTheme="minorHAnsi" w:hAnsiTheme="minorHAnsi" w:cstheme="minorHAnsi"/>
                <w:sz w:val="22"/>
              </w:rPr>
              <w:t xml:space="preserve"> (</w:t>
            </w:r>
            <w:r w:rsidRPr="006D6D23">
              <w:rPr>
                <w:rFonts w:asciiTheme="minorHAnsi" w:hAnsiTheme="minorHAnsi" w:cstheme="minorHAnsi"/>
                <w:sz w:val="22"/>
              </w:rPr>
              <w:t>DSA</w:t>
            </w:r>
            <w:r>
              <w:rPr>
                <w:rFonts w:asciiTheme="minorHAnsi" w:hAnsiTheme="minorHAnsi" w:cstheme="minorHAnsi"/>
                <w:sz w:val="22"/>
              </w:rPr>
              <w:t>)</w:t>
            </w:r>
            <w:r w:rsidRPr="006D6D23">
              <w:rPr>
                <w:rFonts w:asciiTheme="minorHAnsi" w:hAnsiTheme="minorHAnsi" w:cstheme="minorHAnsi"/>
                <w:sz w:val="22"/>
              </w:rPr>
              <w:t xml:space="preserve"> policy is consistent with TGF Budgeting guidelines and payment of per diem is in line with grades of staff and venue of execution.</w:t>
            </w:r>
          </w:p>
          <w:p w14:paraId="1FD59E70" w14:textId="77777777" w:rsidR="006C36E6" w:rsidRPr="006D6D23" w:rsidRDefault="006C36E6" w:rsidP="006C36E6">
            <w:pPr>
              <w:pStyle w:val="ListParagraph"/>
              <w:numPr>
                <w:ilvl w:val="0"/>
                <w:numId w:val="31"/>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Training costs reflect the real cost to be incurred by the implementer in the implementation of the training activities and should not contain any additional remuneration or salary supplements or exceed per diem rates (where applicable) for participants or facilitators.</w:t>
            </w:r>
          </w:p>
          <w:p w14:paraId="612BE023" w14:textId="77777777" w:rsidR="006C36E6" w:rsidRPr="00917B73" w:rsidRDefault="006C36E6" w:rsidP="006C36E6">
            <w:pPr>
              <w:pStyle w:val="ListParagraph"/>
              <w:numPr>
                <w:ilvl w:val="0"/>
                <w:numId w:val="31"/>
              </w:numPr>
              <w:spacing w:before="100" w:after="100" w:line="240" w:lineRule="auto"/>
              <w:jc w:val="both"/>
              <w:rPr>
                <w:rFonts w:asciiTheme="minorHAnsi" w:hAnsiTheme="minorHAnsi" w:cstheme="minorHAnsi"/>
                <w:sz w:val="22"/>
              </w:rPr>
            </w:pPr>
            <w:r w:rsidRPr="00917B73">
              <w:rPr>
                <w:rFonts w:asciiTheme="minorHAnsi" w:hAnsiTheme="minorHAnsi" w:cstheme="minorHAnsi"/>
                <w:sz w:val="22"/>
              </w:rPr>
              <w:lastRenderedPageBreak/>
              <w:t xml:space="preserve">If any survey is outsourced, suppliers </w:t>
            </w:r>
            <w:r>
              <w:rPr>
                <w:rFonts w:asciiTheme="minorHAnsi" w:hAnsiTheme="minorHAnsi" w:cstheme="minorHAnsi"/>
                <w:sz w:val="22"/>
              </w:rPr>
              <w:t>are</w:t>
            </w:r>
            <w:r w:rsidRPr="00917B73">
              <w:rPr>
                <w:rFonts w:asciiTheme="minorHAnsi" w:hAnsiTheme="minorHAnsi" w:cstheme="minorHAnsi"/>
                <w:sz w:val="22"/>
              </w:rPr>
              <w:t xml:space="preserve"> selected through a competitive process, ensuring no overlap with other planned surveys, and considering value-for-money in travel-related costs for participants.</w:t>
            </w:r>
          </w:p>
          <w:p w14:paraId="6B429A6B" w14:textId="77777777" w:rsidR="006C36E6" w:rsidRPr="00917B73" w:rsidRDefault="006C36E6" w:rsidP="006C36E6">
            <w:pPr>
              <w:pStyle w:val="ListParagraph"/>
              <w:numPr>
                <w:ilvl w:val="0"/>
                <w:numId w:val="31"/>
              </w:numPr>
              <w:spacing w:before="100" w:after="100" w:line="240" w:lineRule="auto"/>
              <w:jc w:val="both"/>
              <w:rPr>
                <w:rFonts w:asciiTheme="minorHAnsi" w:hAnsiTheme="minorHAnsi" w:cstheme="minorHAnsi"/>
                <w:sz w:val="22"/>
              </w:rPr>
            </w:pPr>
            <w:r w:rsidRPr="00917B73">
              <w:rPr>
                <w:rFonts w:asciiTheme="minorHAnsi" w:hAnsiTheme="minorHAnsi" w:cstheme="minorHAnsi"/>
                <w:sz w:val="22"/>
              </w:rPr>
              <w:t>Review attendance and payment lists, conducting unpredictable checks such as contacting participants to confirm the activity occurred and verifying that the correct amounts, including travel allowances, were paid out, ensuring value-for-money in TRC.</w:t>
            </w:r>
          </w:p>
          <w:p w14:paraId="0C4B0119" w14:textId="77777777" w:rsidR="006C36E6" w:rsidRPr="008C76A4" w:rsidRDefault="006C36E6" w:rsidP="00A63771">
            <w:pPr>
              <w:spacing w:before="100" w:after="100" w:line="240" w:lineRule="auto"/>
              <w:jc w:val="both"/>
              <w:rPr>
                <w:rFonts w:asciiTheme="minorHAnsi" w:hAnsiTheme="minorHAnsi" w:cstheme="minorHAnsi"/>
                <w:sz w:val="22"/>
              </w:rPr>
            </w:pPr>
          </w:p>
        </w:tc>
      </w:tr>
      <w:tr w:rsidR="006C36E6" w:rsidRPr="006D6D23" w14:paraId="425F0479" w14:textId="77777777" w:rsidTr="00A63771">
        <w:tc>
          <w:tcPr>
            <w:tcW w:w="5000" w:type="pct"/>
            <w:gridSpan w:val="3"/>
          </w:tcPr>
          <w:p w14:paraId="2965D311" w14:textId="5A8870B0" w:rsidR="006C36E6" w:rsidRPr="006D6D23" w:rsidRDefault="006C36E6" w:rsidP="00A63771">
            <w:pPr>
              <w:spacing w:before="100" w:after="100" w:line="240" w:lineRule="auto"/>
              <w:jc w:val="both"/>
              <w:rPr>
                <w:rFonts w:asciiTheme="minorHAnsi" w:hAnsiTheme="minorHAnsi" w:cstheme="minorHAnsi"/>
                <w:b/>
                <w:bCs/>
                <w:sz w:val="22"/>
              </w:rPr>
            </w:pPr>
            <w:r w:rsidRPr="006D6D23">
              <w:rPr>
                <w:rFonts w:asciiTheme="minorHAnsi" w:hAnsiTheme="minorHAnsi" w:cstheme="minorHAnsi"/>
                <w:b/>
                <w:bCs/>
                <w:sz w:val="22"/>
              </w:rPr>
              <w:lastRenderedPageBreak/>
              <w:t xml:space="preserve">External professional services </w:t>
            </w:r>
            <w:r>
              <w:rPr>
                <w:rFonts w:asciiTheme="minorHAnsi" w:hAnsiTheme="minorHAnsi" w:cstheme="minorHAnsi"/>
                <w:b/>
                <w:bCs/>
                <w:sz w:val="22"/>
              </w:rPr>
              <w:t>(EPS)</w:t>
            </w:r>
            <w:r w:rsidRPr="006D6D23">
              <w:rPr>
                <w:rFonts w:asciiTheme="minorHAnsi" w:hAnsiTheme="minorHAnsi" w:cstheme="minorHAnsi"/>
                <w:b/>
                <w:bCs/>
                <w:sz w:val="22"/>
              </w:rPr>
              <w:t xml:space="preserve"> </w:t>
            </w:r>
          </w:p>
        </w:tc>
      </w:tr>
      <w:tr w:rsidR="006C36E6" w:rsidRPr="006D6D23" w14:paraId="448D016F" w14:textId="77777777" w:rsidTr="00A63771">
        <w:tc>
          <w:tcPr>
            <w:tcW w:w="305" w:type="pct"/>
          </w:tcPr>
          <w:p w14:paraId="523B72DE" w14:textId="77777777"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sz w:val="22"/>
              </w:rPr>
            </w:pPr>
            <w:r w:rsidRPr="006D6D23">
              <w:rPr>
                <w:rFonts w:asciiTheme="minorHAnsi" w:eastAsia="Times New Roman" w:hAnsiTheme="minorHAnsi" w:cstheme="minorHAnsi"/>
                <w:sz w:val="22"/>
              </w:rPr>
              <w:t>6</w:t>
            </w:r>
          </w:p>
        </w:tc>
        <w:tc>
          <w:tcPr>
            <w:tcW w:w="1237" w:type="pct"/>
          </w:tcPr>
          <w:p w14:paraId="4DB2917A" w14:textId="6A1BD238"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sz w:val="22"/>
              </w:rPr>
            </w:pPr>
            <w:r w:rsidRPr="006D6D23">
              <w:rPr>
                <w:rFonts w:asciiTheme="minorHAnsi" w:hAnsiTheme="minorHAnsi" w:cstheme="minorHAnsi"/>
                <w:sz w:val="22"/>
                <w:lang w:val="en-GB"/>
              </w:rPr>
              <w:t>Validate that EPS is compliant</w:t>
            </w:r>
            <w:r>
              <w:rPr>
                <w:rFonts w:asciiTheme="minorHAnsi" w:hAnsiTheme="minorHAnsi" w:cstheme="minorHAnsi"/>
                <w:sz w:val="22"/>
                <w:lang w:val="en-GB"/>
              </w:rPr>
              <w:t xml:space="preserve"> (Par. 1.3 and related Appendices of </w:t>
            </w:r>
            <w:hyperlink r:id="rId18" w:history="1">
              <w:r w:rsidRPr="0020138F">
                <w:rPr>
                  <w:rStyle w:val="Hyperlink"/>
                  <w:rFonts w:asciiTheme="minorHAnsi" w:hAnsiTheme="minorHAnsi" w:cstheme="minorHAnsi"/>
                  <w:sz w:val="22"/>
                  <w:lang w:val="en-GB"/>
                </w:rPr>
                <w:t>Operational Guidance for Grant Budgeting</w:t>
              </w:r>
            </w:hyperlink>
            <w:r>
              <w:rPr>
                <w:rFonts w:asciiTheme="minorHAnsi" w:hAnsiTheme="minorHAnsi" w:cstheme="minorHAnsi"/>
                <w:sz w:val="22"/>
                <w:lang w:val="en-GB"/>
              </w:rPr>
              <w:t>)</w:t>
            </w:r>
          </w:p>
        </w:tc>
        <w:tc>
          <w:tcPr>
            <w:tcW w:w="3458" w:type="pct"/>
          </w:tcPr>
          <w:p w14:paraId="5683E590" w14:textId="77777777" w:rsidR="006C36E6" w:rsidRPr="006D6D23" w:rsidRDefault="006C36E6" w:rsidP="00A63771">
            <w:pPr>
              <w:spacing w:before="100" w:after="100" w:line="240" w:lineRule="auto"/>
              <w:jc w:val="both"/>
              <w:rPr>
                <w:rFonts w:asciiTheme="minorHAnsi" w:hAnsiTheme="minorHAnsi" w:cstheme="minorHAnsi"/>
                <w:sz w:val="22"/>
              </w:rPr>
            </w:pPr>
            <w:r>
              <w:rPr>
                <w:rFonts w:asciiTheme="minorHAnsi" w:hAnsiTheme="minorHAnsi" w:cstheme="minorHAnsi"/>
                <w:sz w:val="22"/>
              </w:rPr>
              <w:t>V</w:t>
            </w:r>
            <w:r w:rsidRPr="006D6D23">
              <w:rPr>
                <w:rFonts w:asciiTheme="minorHAnsi" w:hAnsiTheme="minorHAnsi" w:cstheme="minorHAnsi"/>
                <w:sz w:val="22"/>
              </w:rPr>
              <w:t>erify that:</w:t>
            </w:r>
          </w:p>
          <w:p w14:paraId="1D0AA2E7" w14:textId="77777777" w:rsidR="006C36E6" w:rsidRPr="006D6D23" w:rsidRDefault="006C36E6" w:rsidP="006C36E6">
            <w:pPr>
              <w:pStyle w:val="ListParagraph"/>
              <w:numPr>
                <w:ilvl w:val="0"/>
                <w:numId w:val="38"/>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 xml:space="preserve">Specific deliverable has been produced </w:t>
            </w:r>
            <w:r>
              <w:rPr>
                <w:rFonts w:asciiTheme="minorHAnsi" w:hAnsiTheme="minorHAnsi" w:cstheme="minorHAnsi"/>
                <w:sz w:val="22"/>
              </w:rPr>
              <w:t>i</w:t>
            </w:r>
            <w:r w:rsidRPr="006D6D23">
              <w:rPr>
                <w:rFonts w:asciiTheme="minorHAnsi" w:hAnsiTheme="minorHAnsi" w:cstheme="minorHAnsi"/>
                <w:sz w:val="22"/>
              </w:rPr>
              <w:t>n a timely manner by the service provider.</w:t>
            </w:r>
          </w:p>
          <w:p w14:paraId="3C182660" w14:textId="77777777" w:rsidR="006C36E6" w:rsidRPr="006D6D23" w:rsidRDefault="006C36E6" w:rsidP="006C36E6">
            <w:pPr>
              <w:pStyle w:val="ListParagraph"/>
              <w:numPr>
                <w:ilvl w:val="0"/>
                <w:numId w:val="38"/>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TA consultants are not used to perform tasks and functions that are recurring in nature and that are expected to be filled by staff members through specific HR contracts. Long-term consultants – including consultants who are more akin to employees (those engaged on a continuous basis, for prolonged periods, without specific time-bound deliverables, and who receive monthly pay) – should be classified under the HR cost grouping. Per diems must not be paid to such long-term consultants.</w:t>
            </w:r>
          </w:p>
          <w:p w14:paraId="0584FC08" w14:textId="77777777" w:rsidR="006C36E6" w:rsidRPr="006D6D23" w:rsidRDefault="006C36E6" w:rsidP="006C36E6">
            <w:pPr>
              <w:pStyle w:val="ListParagraph"/>
              <w:numPr>
                <w:ilvl w:val="0"/>
                <w:numId w:val="38"/>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 xml:space="preserve">Consultancy fees </w:t>
            </w:r>
            <w:r>
              <w:rPr>
                <w:rFonts w:asciiTheme="minorHAnsi" w:hAnsiTheme="minorHAnsi" w:cstheme="minorHAnsi"/>
                <w:sz w:val="22"/>
              </w:rPr>
              <w:t>are</w:t>
            </w:r>
            <w:r w:rsidRPr="006D6D23">
              <w:rPr>
                <w:rFonts w:asciiTheme="minorHAnsi" w:hAnsiTheme="minorHAnsi" w:cstheme="minorHAnsi"/>
                <w:sz w:val="22"/>
              </w:rPr>
              <w:t xml:space="preserve"> consistent with local, regional, and international market practice, depending on the type of TA sourced. For international consultants and local and/or regional consultants, fees should not exceed the UN standard international rates and UN standard local rates, respectively. </w:t>
            </w:r>
          </w:p>
          <w:p w14:paraId="59C57980" w14:textId="77777777" w:rsidR="006C36E6" w:rsidRPr="006D6D23" w:rsidRDefault="006C36E6" w:rsidP="006C36E6">
            <w:pPr>
              <w:pStyle w:val="ListParagraph"/>
              <w:numPr>
                <w:ilvl w:val="0"/>
                <w:numId w:val="38"/>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Procurement of EPS is in line with the implementers procurement policy</w:t>
            </w:r>
            <w:r>
              <w:rPr>
                <w:rFonts w:asciiTheme="minorHAnsi" w:hAnsiTheme="minorHAnsi" w:cstheme="minorHAnsi"/>
                <w:sz w:val="22"/>
              </w:rPr>
              <w:t>.</w:t>
            </w:r>
          </w:p>
          <w:p w14:paraId="07D2FEFE" w14:textId="77777777" w:rsidR="006C36E6" w:rsidRPr="006D6D23" w:rsidRDefault="006C36E6" w:rsidP="006C36E6">
            <w:pPr>
              <w:pStyle w:val="ListParagraph"/>
              <w:numPr>
                <w:ilvl w:val="0"/>
                <w:numId w:val="38"/>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The basis of costing EPS is reasonable and yield value for money</w:t>
            </w:r>
            <w:r>
              <w:rPr>
                <w:rFonts w:asciiTheme="minorHAnsi" w:hAnsiTheme="minorHAnsi" w:cstheme="minorHAnsi"/>
                <w:sz w:val="22"/>
              </w:rPr>
              <w:t>.</w:t>
            </w:r>
          </w:p>
        </w:tc>
      </w:tr>
      <w:tr w:rsidR="006C36E6" w:rsidRPr="006D6D23" w14:paraId="7E7C0AC2" w14:textId="77777777" w:rsidTr="00A63771">
        <w:tc>
          <w:tcPr>
            <w:tcW w:w="5000" w:type="pct"/>
            <w:gridSpan w:val="3"/>
          </w:tcPr>
          <w:p w14:paraId="707CCAC6" w14:textId="77777777" w:rsidR="006C36E6" w:rsidRPr="006D6D23" w:rsidRDefault="006C36E6" w:rsidP="00A63771">
            <w:pPr>
              <w:spacing w:before="100" w:after="100" w:line="240" w:lineRule="auto"/>
              <w:jc w:val="both"/>
              <w:rPr>
                <w:rFonts w:asciiTheme="minorHAnsi" w:hAnsiTheme="minorHAnsi" w:cstheme="minorHAnsi"/>
                <w:b/>
                <w:bCs/>
                <w:sz w:val="22"/>
              </w:rPr>
            </w:pPr>
            <w:r w:rsidRPr="006D6D23">
              <w:rPr>
                <w:rFonts w:asciiTheme="minorHAnsi" w:hAnsiTheme="minorHAnsi" w:cstheme="minorHAnsi"/>
                <w:b/>
                <w:bCs/>
                <w:sz w:val="22"/>
                <w:lang w:val="en-GB"/>
              </w:rPr>
              <w:t xml:space="preserve">Infrastructure  </w:t>
            </w:r>
          </w:p>
        </w:tc>
      </w:tr>
      <w:tr w:rsidR="006C36E6" w:rsidRPr="006D6D23" w14:paraId="3F144FD0" w14:textId="77777777" w:rsidTr="00A63771">
        <w:tc>
          <w:tcPr>
            <w:tcW w:w="305" w:type="pct"/>
          </w:tcPr>
          <w:p w14:paraId="77B5A5FD" w14:textId="77777777"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sz w:val="22"/>
              </w:rPr>
            </w:pPr>
            <w:r w:rsidRPr="006D6D23">
              <w:rPr>
                <w:rFonts w:asciiTheme="minorHAnsi" w:eastAsia="Times New Roman" w:hAnsiTheme="minorHAnsi" w:cstheme="minorHAnsi"/>
                <w:sz w:val="22"/>
              </w:rPr>
              <w:t>7</w:t>
            </w:r>
          </w:p>
        </w:tc>
        <w:tc>
          <w:tcPr>
            <w:tcW w:w="1237" w:type="pct"/>
          </w:tcPr>
          <w:p w14:paraId="0EADE24F" w14:textId="77777777" w:rsidR="006C36E6" w:rsidRPr="006D6D23" w:rsidRDefault="006C36E6" w:rsidP="00A63771">
            <w:pPr>
              <w:spacing w:before="100" w:after="100" w:line="240" w:lineRule="auto"/>
              <w:rPr>
                <w:rFonts w:asciiTheme="minorHAnsi" w:hAnsiTheme="minorHAnsi" w:cstheme="minorHAnsi"/>
                <w:sz w:val="22"/>
                <w:lang w:val="en-GB"/>
              </w:rPr>
            </w:pPr>
            <w:r w:rsidRPr="006D6D23">
              <w:rPr>
                <w:rFonts w:asciiTheme="minorHAnsi" w:hAnsiTheme="minorHAnsi" w:cstheme="minorHAnsi"/>
                <w:sz w:val="22"/>
                <w:lang w:val="en-GB"/>
              </w:rPr>
              <w:t xml:space="preserve">Verify that </w:t>
            </w:r>
            <w:r>
              <w:rPr>
                <w:rFonts w:asciiTheme="minorHAnsi" w:hAnsiTheme="minorHAnsi" w:cstheme="minorHAnsi"/>
                <w:sz w:val="22"/>
                <w:lang w:val="en-GB"/>
              </w:rPr>
              <w:t>controls</w:t>
            </w:r>
            <w:r w:rsidRPr="006D6D23">
              <w:rPr>
                <w:rFonts w:asciiTheme="minorHAnsi" w:hAnsiTheme="minorHAnsi" w:cstheme="minorHAnsi"/>
                <w:sz w:val="22"/>
                <w:lang w:val="en-GB"/>
              </w:rPr>
              <w:t xml:space="preserve"> exist around management of infrastructure projects</w:t>
            </w:r>
          </w:p>
        </w:tc>
        <w:tc>
          <w:tcPr>
            <w:tcW w:w="3458" w:type="pct"/>
          </w:tcPr>
          <w:p w14:paraId="3FCFACDE" w14:textId="77777777" w:rsidR="006C36E6" w:rsidRPr="006D6D23" w:rsidRDefault="006C36E6" w:rsidP="006C36E6">
            <w:pPr>
              <w:pStyle w:val="ListParagraph"/>
              <w:numPr>
                <w:ilvl w:val="0"/>
                <w:numId w:val="39"/>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Review the implementer</w:t>
            </w:r>
            <w:r>
              <w:rPr>
                <w:rFonts w:asciiTheme="minorHAnsi" w:hAnsiTheme="minorHAnsi" w:cstheme="minorHAnsi"/>
                <w:sz w:val="22"/>
              </w:rPr>
              <w:t>’</w:t>
            </w:r>
            <w:r w:rsidRPr="006D6D23">
              <w:rPr>
                <w:rFonts w:asciiTheme="minorHAnsi" w:hAnsiTheme="minorHAnsi" w:cstheme="minorHAnsi"/>
                <w:sz w:val="22"/>
              </w:rPr>
              <w:t>s policies on maintenance, disposal and/or replacement of assets (in accordance with the terms of the relevant grant agreement), and confirm that costs of such activities are budgeted within the grant where applicable.</w:t>
            </w:r>
          </w:p>
          <w:p w14:paraId="1D279505" w14:textId="77777777" w:rsidR="006C36E6" w:rsidRPr="006D6D23" w:rsidRDefault="006C36E6" w:rsidP="006C36E6">
            <w:pPr>
              <w:pStyle w:val="ListParagraph"/>
              <w:numPr>
                <w:ilvl w:val="0"/>
                <w:numId w:val="39"/>
              </w:numPr>
              <w:spacing w:before="100" w:after="100" w:line="240" w:lineRule="auto"/>
              <w:jc w:val="both"/>
              <w:rPr>
                <w:rFonts w:asciiTheme="minorHAnsi" w:hAnsiTheme="minorHAnsi" w:cstheme="minorHAnsi"/>
                <w:sz w:val="22"/>
              </w:rPr>
            </w:pPr>
            <w:r>
              <w:rPr>
                <w:rFonts w:asciiTheme="minorHAnsi" w:hAnsiTheme="minorHAnsi" w:cstheme="minorHAnsi"/>
                <w:sz w:val="22"/>
              </w:rPr>
              <w:t>Verify that p</w:t>
            </w:r>
            <w:r w:rsidRPr="006D6D23">
              <w:rPr>
                <w:rFonts w:asciiTheme="minorHAnsi" w:hAnsiTheme="minorHAnsi" w:cstheme="minorHAnsi"/>
                <w:sz w:val="22"/>
              </w:rPr>
              <w:t>rior written approval</w:t>
            </w:r>
            <w:r>
              <w:rPr>
                <w:rFonts w:asciiTheme="minorHAnsi" w:hAnsiTheme="minorHAnsi" w:cstheme="minorHAnsi"/>
                <w:sz w:val="22"/>
              </w:rPr>
              <w:t xml:space="preserve"> has been obtained</w:t>
            </w:r>
            <w:r w:rsidRPr="006D6D23">
              <w:rPr>
                <w:rFonts w:asciiTheme="minorHAnsi" w:hAnsiTheme="minorHAnsi" w:cstheme="minorHAnsi"/>
                <w:sz w:val="22"/>
              </w:rPr>
              <w:t xml:space="preserve"> where rehabilitation and/or renovation and enhancement activities have been undertaken.</w:t>
            </w:r>
          </w:p>
          <w:p w14:paraId="128CA887" w14:textId="7616D81F" w:rsidR="006C36E6" w:rsidRPr="006D6D23" w:rsidRDefault="006C36E6" w:rsidP="006C36E6">
            <w:pPr>
              <w:pStyle w:val="ListParagraph"/>
              <w:numPr>
                <w:ilvl w:val="0"/>
                <w:numId w:val="39"/>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Review a feasibility study that shows the viability of the project and completion schedule within the grant Implementation Period, including detailed explanations of what is planned to be rehabilitated, renovated and/or enhanced against the results and the expenses incurred</w:t>
            </w:r>
            <w:r>
              <w:rPr>
                <w:rFonts w:asciiTheme="minorHAnsi" w:hAnsiTheme="minorHAnsi" w:cstheme="minorHAnsi"/>
                <w:sz w:val="22"/>
              </w:rPr>
              <w:t>.</w:t>
            </w:r>
          </w:p>
          <w:p w14:paraId="3929F000" w14:textId="77777777" w:rsidR="006C36E6" w:rsidRPr="006D6D23" w:rsidRDefault="006C36E6" w:rsidP="006C36E6">
            <w:pPr>
              <w:pStyle w:val="ListParagraph"/>
              <w:numPr>
                <w:ilvl w:val="0"/>
                <w:numId w:val="39"/>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t>Review the mechanisms the implementer has applied to oversee and monitor the progress of the work including details on the entity(</w:t>
            </w:r>
            <w:proofErr w:type="spellStart"/>
            <w:r w:rsidRPr="006D6D23">
              <w:rPr>
                <w:rFonts w:asciiTheme="minorHAnsi" w:hAnsiTheme="minorHAnsi" w:cstheme="minorHAnsi"/>
                <w:sz w:val="22"/>
              </w:rPr>
              <w:t>ies</w:t>
            </w:r>
            <w:proofErr w:type="spellEnd"/>
            <w:r w:rsidRPr="006D6D23">
              <w:rPr>
                <w:rFonts w:asciiTheme="minorHAnsi" w:hAnsiTheme="minorHAnsi" w:cstheme="minorHAnsi"/>
                <w:sz w:val="22"/>
              </w:rPr>
              <w:t>) hired for the supervision, quality control and certification.</w:t>
            </w:r>
          </w:p>
          <w:p w14:paraId="18E9093E" w14:textId="77777777" w:rsidR="006C36E6" w:rsidRPr="006D6D23" w:rsidRDefault="006C36E6" w:rsidP="006C36E6">
            <w:pPr>
              <w:pStyle w:val="ListParagraph"/>
              <w:numPr>
                <w:ilvl w:val="0"/>
                <w:numId w:val="39"/>
              </w:numPr>
              <w:spacing w:before="100" w:after="100" w:line="240" w:lineRule="auto"/>
              <w:jc w:val="both"/>
              <w:rPr>
                <w:rFonts w:asciiTheme="minorHAnsi" w:hAnsiTheme="minorHAnsi" w:cstheme="minorHAnsi"/>
                <w:sz w:val="22"/>
              </w:rPr>
            </w:pPr>
            <w:r w:rsidRPr="006D6D23">
              <w:rPr>
                <w:rFonts w:asciiTheme="minorHAnsi" w:hAnsiTheme="minorHAnsi" w:cstheme="minorHAnsi"/>
                <w:sz w:val="22"/>
              </w:rPr>
              <w:lastRenderedPageBreak/>
              <w:t>Through meetings with the PR, obtain an understanding of the internal controls and oversight management systems the implementer is using to prevent any potential mismanagement of funds related to infrastructure.</w:t>
            </w:r>
          </w:p>
        </w:tc>
      </w:tr>
      <w:tr w:rsidR="006C36E6" w:rsidRPr="006D6D23" w14:paraId="783CE32D" w14:textId="77777777" w:rsidTr="00A63771">
        <w:tc>
          <w:tcPr>
            <w:tcW w:w="5000" w:type="pct"/>
            <w:gridSpan w:val="3"/>
          </w:tcPr>
          <w:p w14:paraId="0946B290" w14:textId="77777777" w:rsidR="006C36E6" w:rsidRPr="006D6D23" w:rsidRDefault="006C36E6" w:rsidP="00A63771">
            <w:pPr>
              <w:spacing w:before="100" w:after="100" w:line="240" w:lineRule="auto"/>
              <w:jc w:val="both"/>
              <w:rPr>
                <w:rFonts w:asciiTheme="minorHAnsi" w:hAnsiTheme="minorHAnsi" w:cstheme="minorHAnsi"/>
                <w:b/>
                <w:bCs/>
                <w:sz w:val="22"/>
              </w:rPr>
            </w:pPr>
            <w:r w:rsidRPr="006D6D23">
              <w:rPr>
                <w:rFonts w:asciiTheme="minorHAnsi" w:hAnsiTheme="minorHAnsi" w:cstheme="minorHAnsi"/>
                <w:b/>
                <w:bCs/>
                <w:sz w:val="22"/>
              </w:rPr>
              <w:lastRenderedPageBreak/>
              <w:t>Non-health Equipment</w:t>
            </w:r>
          </w:p>
        </w:tc>
      </w:tr>
      <w:tr w:rsidR="006C36E6" w:rsidRPr="006D6D23" w14:paraId="052B2DBC" w14:textId="77777777" w:rsidTr="00A63771">
        <w:tc>
          <w:tcPr>
            <w:tcW w:w="305" w:type="pct"/>
          </w:tcPr>
          <w:p w14:paraId="52E41D46" w14:textId="77777777"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sz w:val="22"/>
              </w:rPr>
            </w:pPr>
            <w:r w:rsidRPr="006D6D23">
              <w:rPr>
                <w:rFonts w:asciiTheme="minorHAnsi" w:eastAsia="Times New Roman" w:hAnsiTheme="minorHAnsi" w:cstheme="minorHAnsi"/>
                <w:sz w:val="22"/>
              </w:rPr>
              <w:t>8</w:t>
            </w:r>
          </w:p>
        </w:tc>
        <w:tc>
          <w:tcPr>
            <w:tcW w:w="1237" w:type="pct"/>
          </w:tcPr>
          <w:p w14:paraId="1443DDE0" w14:textId="77777777" w:rsidR="006C36E6" w:rsidRPr="006D6D23" w:rsidRDefault="006C36E6" w:rsidP="00A63771">
            <w:pPr>
              <w:spacing w:before="100" w:after="100" w:line="240" w:lineRule="auto"/>
              <w:rPr>
                <w:rFonts w:asciiTheme="minorHAnsi" w:hAnsiTheme="minorHAnsi" w:cstheme="minorHAnsi"/>
                <w:sz w:val="22"/>
                <w:lang w:val="en-GB"/>
              </w:rPr>
            </w:pPr>
            <w:r w:rsidRPr="006D6D23">
              <w:rPr>
                <w:rFonts w:asciiTheme="minorHAnsi" w:hAnsiTheme="minorHAnsi" w:cstheme="minorHAnsi"/>
                <w:sz w:val="22"/>
                <w:lang w:val="en-GB"/>
              </w:rPr>
              <w:t xml:space="preserve">Review that procurement of Non-Health Equipment is </w:t>
            </w:r>
            <w:r>
              <w:rPr>
                <w:rFonts w:asciiTheme="minorHAnsi" w:hAnsiTheme="minorHAnsi" w:cstheme="minorHAnsi"/>
                <w:sz w:val="22"/>
                <w:lang w:val="en-GB"/>
              </w:rPr>
              <w:t xml:space="preserve">in </w:t>
            </w:r>
            <w:r w:rsidRPr="006D6D23">
              <w:rPr>
                <w:rFonts w:asciiTheme="minorHAnsi" w:hAnsiTheme="minorHAnsi" w:cstheme="minorHAnsi"/>
                <w:sz w:val="22"/>
                <w:lang w:val="en-GB"/>
              </w:rPr>
              <w:t>line with the entities</w:t>
            </w:r>
            <w:r>
              <w:rPr>
                <w:rFonts w:asciiTheme="minorHAnsi" w:hAnsiTheme="minorHAnsi" w:cstheme="minorHAnsi"/>
                <w:sz w:val="22"/>
                <w:lang w:val="en-GB"/>
              </w:rPr>
              <w:t>’</w:t>
            </w:r>
            <w:r w:rsidRPr="006D6D23">
              <w:rPr>
                <w:rFonts w:asciiTheme="minorHAnsi" w:hAnsiTheme="minorHAnsi" w:cstheme="minorHAnsi"/>
                <w:sz w:val="22"/>
                <w:lang w:val="en-GB"/>
              </w:rPr>
              <w:t xml:space="preserve"> procurement policy and in line with the Global Fund’s guidelines.</w:t>
            </w:r>
          </w:p>
        </w:tc>
        <w:tc>
          <w:tcPr>
            <w:tcW w:w="3458" w:type="pct"/>
          </w:tcPr>
          <w:p w14:paraId="0AA38CE1" w14:textId="77777777" w:rsidR="006C36E6" w:rsidRPr="006D6D23" w:rsidRDefault="006C36E6" w:rsidP="00A63771">
            <w:pPr>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Review the implementer</w:t>
            </w:r>
            <w:r>
              <w:rPr>
                <w:rFonts w:asciiTheme="minorHAnsi" w:hAnsiTheme="minorHAnsi" w:cstheme="minorHAnsi"/>
                <w:sz w:val="22"/>
                <w:lang w:val="en-ZA"/>
              </w:rPr>
              <w:t>’s</w:t>
            </w:r>
            <w:r w:rsidRPr="006D6D23">
              <w:rPr>
                <w:rFonts w:asciiTheme="minorHAnsi" w:hAnsiTheme="minorHAnsi" w:cstheme="minorHAnsi"/>
                <w:sz w:val="22"/>
                <w:lang w:val="en-ZA"/>
              </w:rPr>
              <w:t xml:space="preserve"> annual procurement </w:t>
            </w:r>
            <w:r>
              <w:rPr>
                <w:rFonts w:asciiTheme="minorHAnsi" w:hAnsiTheme="minorHAnsi" w:cstheme="minorHAnsi"/>
                <w:sz w:val="22"/>
                <w:lang w:val="en-ZA"/>
              </w:rPr>
              <w:t xml:space="preserve">plan </w:t>
            </w:r>
            <w:r w:rsidRPr="006D6D23">
              <w:rPr>
                <w:rFonts w:asciiTheme="minorHAnsi" w:hAnsiTheme="minorHAnsi" w:cstheme="minorHAnsi"/>
                <w:sz w:val="22"/>
                <w:lang w:val="en-ZA"/>
              </w:rPr>
              <w:t>and review the status of its implementation</w:t>
            </w:r>
            <w:r>
              <w:rPr>
                <w:rFonts w:asciiTheme="minorHAnsi" w:hAnsiTheme="minorHAnsi" w:cstheme="minorHAnsi"/>
                <w:sz w:val="22"/>
                <w:lang w:val="en-ZA"/>
              </w:rPr>
              <w:t xml:space="preserve"> </w:t>
            </w:r>
            <w:r w:rsidRPr="006D6D23">
              <w:rPr>
                <w:rFonts w:asciiTheme="minorHAnsi" w:hAnsiTheme="minorHAnsi" w:cstheme="minorHAnsi"/>
                <w:sz w:val="22"/>
                <w:lang w:val="en-ZA"/>
              </w:rPr>
              <w:t xml:space="preserve">- </w:t>
            </w:r>
            <w:r>
              <w:rPr>
                <w:rFonts w:asciiTheme="minorHAnsi" w:hAnsiTheme="minorHAnsi" w:cstheme="minorHAnsi"/>
                <w:sz w:val="22"/>
                <w:lang w:val="en-ZA"/>
              </w:rPr>
              <w:t>c</w:t>
            </w:r>
            <w:r w:rsidRPr="006D6D23">
              <w:rPr>
                <w:rFonts w:asciiTheme="minorHAnsi" w:hAnsiTheme="minorHAnsi" w:cstheme="minorHAnsi"/>
                <w:sz w:val="22"/>
                <w:lang w:val="en-ZA"/>
              </w:rPr>
              <w:t xml:space="preserve">onfirm that the comprehensive annual </w:t>
            </w:r>
            <w:r>
              <w:rPr>
                <w:rFonts w:asciiTheme="minorHAnsi" w:hAnsiTheme="minorHAnsi" w:cstheme="minorHAnsi"/>
                <w:sz w:val="22"/>
                <w:lang w:val="en-ZA"/>
              </w:rPr>
              <w:t>p</w:t>
            </w:r>
            <w:r w:rsidRPr="006D6D23">
              <w:rPr>
                <w:rFonts w:asciiTheme="minorHAnsi" w:hAnsiTheme="minorHAnsi" w:cstheme="minorHAnsi"/>
                <w:sz w:val="22"/>
                <w:lang w:val="en-ZA"/>
              </w:rPr>
              <w:t>lan helps to determine the most appropriate, economical, and cost-efficient method in the procurement of goods and services as well as define the suitable planning for timely delivery.</w:t>
            </w:r>
          </w:p>
          <w:p w14:paraId="3F60578C" w14:textId="77777777" w:rsidR="006C36E6" w:rsidRPr="006D6D23" w:rsidRDefault="006C36E6" w:rsidP="00A63771">
            <w:pPr>
              <w:spacing w:before="100" w:after="100" w:line="240" w:lineRule="auto"/>
              <w:rPr>
                <w:rFonts w:asciiTheme="minorHAnsi" w:hAnsiTheme="minorHAnsi" w:cstheme="minorHAnsi"/>
                <w:sz w:val="22"/>
                <w:lang w:val="en-ZA"/>
              </w:rPr>
            </w:pPr>
          </w:p>
          <w:p w14:paraId="6E0B7E75" w14:textId="77777777" w:rsidR="006C36E6" w:rsidRPr="006D6D23" w:rsidRDefault="006C36E6" w:rsidP="00A63771">
            <w:pPr>
              <w:spacing w:before="100" w:after="100" w:line="240" w:lineRule="auto"/>
              <w:rPr>
                <w:rFonts w:asciiTheme="minorHAnsi" w:hAnsiTheme="minorHAnsi" w:cstheme="minorHAnsi"/>
                <w:b/>
                <w:bCs/>
                <w:i/>
                <w:iCs/>
                <w:sz w:val="22"/>
                <w:lang w:val="en-ZA"/>
              </w:rPr>
            </w:pPr>
            <w:r w:rsidRPr="006D6D23">
              <w:rPr>
                <w:rFonts w:asciiTheme="minorHAnsi" w:hAnsiTheme="minorHAnsi" w:cstheme="minorHAnsi"/>
                <w:sz w:val="22"/>
                <w:lang w:val="en-ZA"/>
              </w:rPr>
              <w:t xml:space="preserve">Obtain the implementer’s organizational procurement and fixed assets management policies and applicable laws and regulations and confirm their consistency with the </w:t>
            </w:r>
            <w:r w:rsidRPr="006D6D23">
              <w:rPr>
                <w:rFonts w:asciiTheme="minorHAnsi" w:hAnsiTheme="minorHAnsi" w:cstheme="minorHAnsi"/>
                <w:b/>
                <w:bCs/>
                <w:i/>
                <w:iCs/>
                <w:sz w:val="22"/>
                <w:lang w:val="en-ZA"/>
              </w:rPr>
              <w:t>Global Fund Guidelines on Fixed Assets</w:t>
            </w:r>
            <w:r w:rsidRPr="006D6D23">
              <w:rPr>
                <w:rFonts w:asciiTheme="minorHAnsi" w:hAnsiTheme="minorHAnsi" w:cstheme="minorHAnsi"/>
                <w:b/>
                <w:bCs/>
                <w:sz w:val="22"/>
                <w:lang w:val="en-ZA"/>
              </w:rPr>
              <w:t xml:space="preserve"> </w:t>
            </w:r>
            <w:r w:rsidRPr="006D6D23">
              <w:rPr>
                <w:rFonts w:asciiTheme="minorHAnsi" w:hAnsiTheme="minorHAnsi" w:cstheme="minorHAnsi"/>
                <w:b/>
                <w:bCs/>
                <w:i/>
                <w:iCs/>
                <w:sz w:val="22"/>
                <w:lang w:val="en-ZA"/>
              </w:rPr>
              <w:t>Managemen</w:t>
            </w:r>
            <w:r w:rsidRPr="006D6D23">
              <w:rPr>
                <w:rFonts w:asciiTheme="minorHAnsi" w:hAnsiTheme="minorHAnsi" w:cstheme="minorHAnsi"/>
                <w:b/>
                <w:bCs/>
                <w:sz w:val="22"/>
                <w:lang w:val="en-ZA"/>
              </w:rPr>
              <w:t xml:space="preserve">t </w:t>
            </w:r>
            <w:r w:rsidRPr="006D6D23">
              <w:rPr>
                <w:rFonts w:asciiTheme="minorHAnsi" w:hAnsiTheme="minorHAnsi" w:cstheme="minorHAnsi"/>
                <w:sz w:val="22"/>
                <w:lang w:val="en-ZA"/>
              </w:rPr>
              <w:t xml:space="preserve">and </w:t>
            </w:r>
            <w:r w:rsidRPr="006D6D23">
              <w:rPr>
                <w:rFonts w:asciiTheme="minorHAnsi" w:hAnsiTheme="minorHAnsi" w:cstheme="minorHAnsi"/>
                <w:b/>
                <w:bCs/>
                <w:i/>
                <w:iCs/>
                <w:sz w:val="22"/>
                <w:lang w:val="en-ZA"/>
              </w:rPr>
              <w:t>Financial Management Handbook for Grant Implementers.</w:t>
            </w:r>
          </w:p>
          <w:p w14:paraId="49FF3E39" w14:textId="77777777" w:rsidR="006C36E6" w:rsidRPr="006D6D23" w:rsidRDefault="006C36E6" w:rsidP="00A63771">
            <w:pPr>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Review the implementers rationale for needs/replacement, programmatic basis and costs of non-health equipment and up-to-date Fixed Asset Register (FAR)</w:t>
            </w:r>
            <w:r>
              <w:rPr>
                <w:rFonts w:asciiTheme="minorHAnsi" w:hAnsiTheme="minorHAnsi" w:cstheme="minorHAnsi"/>
                <w:sz w:val="22"/>
                <w:lang w:val="en-ZA"/>
              </w:rPr>
              <w:t>.</w:t>
            </w:r>
          </w:p>
          <w:p w14:paraId="6002E3F3" w14:textId="77777777" w:rsidR="006C36E6" w:rsidRPr="006D6D23" w:rsidRDefault="006C36E6" w:rsidP="00A63771">
            <w:pPr>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Review the process of procurement of non-health equipment and establish that for expenditure items incurred during the period:</w:t>
            </w:r>
          </w:p>
          <w:p w14:paraId="69EFD9E9" w14:textId="77777777" w:rsidR="006C36E6" w:rsidRPr="006D6D23" w:rsidRDefault="006C36E6" w:rsidP="006C36E6">
            <w:pPr>
              <w:numPr>
                <w:ilvl w:val="0"/>
                <w:numId w:val="29"/>
              </w:numPr>
              <w:tabs>
                <w:tab w:val="left" w:pos="720"/>
              </w:tabs>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Expenditures are adequately supported by 3rd party documents.</w:t>
            </w:r>
          </w:p>
          <w:p w14:paraId="3187AA6B" w14:textId="77777777" w:rsidR="006C36E6" w:rsidRPr="006D6D23" w:rsidRDefault="006C36E6" w:rsidP="006C36E6">
            <w:pPr>
              <w:numPr>
                <w:ilvl w:val="0"/>
                <w:numId w:val="29"/>
              </w:numPr>
              <w:tabs>
                <w:tab w:val="left" w:pos="720"/>
              </w:tabs>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Expenses are eligible and programme related (i.e. that expenditure is in line with the approved work plan and budget).</w:t>
            </w:r>
          </w:p>
          <w:p w14:paraId="3CA19E7E" w14:textId="77777777" w:rsidR="006C36E6" w:rsidRPr="006D6D23" w:rsidRDefault="006C36E6" w:rsidP="006C36E6">
            <w:pPr>
              <w:numPr>
                <w:ilvl w:val="0"/>
                <w:numId w:val="29"/>
              </w:numPr>
              <w:tabs>
                <w:tab w:val="left" w:pos="720"/>
              </w:tabs>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Expenses are recorded in a timely manner and are posted to the correct budget line.</w:t>
            </w:r>
          </w:p>
          <w:p w14:paraId="1F4A1687" w14:textId="77777777" w:rsidR="006C36E6" w:rsidRPr="006D6D23" w:rsidRDefault="006C36E6" w:rsidP="006C36E6">
            <w:pPr>
              <w:numPr>
                <w:ilvl w:val="0"/>
                <w:numId w:val="29"/>
              </w:numPr>
              <w:tabs>
                <w:tab w:val="left" w:pos="720"/>
              </w:tabs>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Reasonable value for money was obtained.</w:t>
            </w:r>
          </w:p>
          <w:p w14:paraId="784EE8D8" w14:textId="77777777" w:rsidR="006C36E6" w:rsidRPr="006D6D23" w:rsidRDefault="006C36E6" w:rsidP="006C36E6">
            <w:pPr>
              <w:numPr>
                <w:ilvl w:val="0"/>
                <w:numId w:val="29"/>
              </w:numPr>
              <w:tabs>
                <w:tab w:val="left" w:pos="720"/>
              </w:tabs>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Risk of duplication of resources for similar activities is mitigated, i.e. the same activities are not funded by GF and other donors.</w:t>
            </w:r>
          </w:p>
          <w:p w14:paraId="0647A254" w14:textId="77777777" w:rsidR="006C36E6" w:rsidRPr="00F968BA" w:rsidRDefault="006C36E6" w:rsidP="00A63771">
            <w:pPr>
              <w:spacing w:before="100" w:after="100" w:line="240" w:lineRule="auto"/>
              <w:rPr>
                <w:rFonts w:asciiTheme="minorHAnsi" w:hAnsiTheme="minorHAnsi" w:cstheme="minorHAnsi"/>
                <w:sz w:val="22"/>
                <w:lang w:val="en-ZA"/>
              </w:rPr>
            </w:pPr>
            <w:r w:rsidRPr="00F968BA">
              <w:rPr>
                <w:rFonts w:asciiTheme="minorHAnsi" w:hAnsiTheme="minorHAnsi" w:cstheme="minorHAnsi"/>
                <w:sz w:val="22"/>
                <w:lang w:val="en-ZA"/>
              </w:rPr>
              <w:t>Expenses are appropriately authorized and approved.</w:t>
            </w:r>
          </w:p>
        </w:tc>
      </w:tr>
      <w:tr w:rsidR="006C36E6" w:rsidRPr="006D6D23" w14:paraId="0E8A1B18" w14:textId="77777777" w:rsidTr="00A63771">
        <w:tc>
          <w:tcPr>
            <w:tcW w:w="5000" w:type="pct"/>
            <w:gridSpan w:val="3"/>
          </w:tcPr>
          <w:p w14:paraId="64864822" w14:textId="77777777" w:rsidR="006C36E6" w:rsidRPr="006D6D23" w:rsidRDefault="006C36E6" w:rsidP="00A63771">
            <w:pPr>
              <w:spacing w:before="100" w:after="100" w:line="240" w:lineRule="auto"/>
              <w:rPr>
                <w:rFonts w:asciiTheme="minorHAnsi" w:hAnsiTheme="minorHAnsi" w:cstheme="minorHAnsi"/>
                <w:b/>
                <w:bCs/>
                <w:sz w:val="22"/>
                <w:lang w:val="en-ZA"/>
              </w:rPr>
            </w:pPr>
            <w:r w:rsidRPr="006D6D23">
              <w:rPr>
                <w:rFonts w:asciiTheme="minorHAnsi" w:hAnsiTheme="minorHAnsi" w:cstheme="minorHAnsi"/>
                <w:b/>
                <w:bCs/>
                <w:sz w:val="22"/>
                <w:lang w:val="en-GB"/>
              </w:rPr>
              <w:t>Communication material and publications (CMP)</w:t>
            </w:r>
          </w:p>
        </w:tc>
      </w:tr>
      <w:tr w:rsidR="006C36E6" w:rsidRPr="006D6D23" w14:paraId="47625AD1" w14:textId="77777777" w:rsidTr="00A63771">
        <w:tc>
          <w:tcPr>
            <w:tcW w:w="305" w:type="pct"/>
          </w:tcPr>
          <w:p w14:paraId="633E19EB" w14:textId="77777777" w:rsidR="006C36E6" w:rsidRPr="006D6D23" w:rsidRDefault="006C36E6" w:rsidP="00A63771">
            <w:pPr>
              <w:tabs>
                <w:tab w:val="left" w:pos="1704"/>
                <w:tab w:val="left" w:pos="1917"/>
              </w:tabs>
              <w:spacing w:before="100" w:after="100" w:line="240" w:lineRule="auto"/>
              <w:ind w:right="31"/>
              <w:rPr>
                <w:rFonts w:asciiTheme="minorHAnsi" w:eastAsia="Times New Roman" w:hAnsiTheme="minorHAnsi" w:cstheme="minorHAnsi"/>
                <w:sz w:val="22"/>
              </w:rPr>
            </w:pPr>
            <w:r w:rsidRPr="006D6D23">
              <w:rPr>
                <w:rFonts w:asciiTheme="minorHAnsi" w:eastAsia="Times New Roman" w:hAnsiTheme="minorHAnsi" w:cstheme="minorHAnsi"/>
                <w:sz w:val="22"/>
              </w:rPr>
              <w:t>9.</w:t>
            </w:r>
          </w:p>
        </w:tc>
        <w:tc>
          <w:tcPr>
            <w:tcW w:w="1237" w:type="pct"/>
          </w:tcPr>
          <w:p w14:paraId="60754108" w14:textId="77777777" w:rsidR="006C36E6" w:rsidRPr="006D6D23" w:rsidRDefault="006C36E6" w:rsidP="00A63771">
            <w:pPr>
              <w:spacing w:before="100" w:after="100" w:line="240" w:lineRule="auto"/>
              <w:rPr>
                <w:rFonts w:asciiTheme="minorHAnsi" w:hAnsiTheme="minorHAnsi" w:cstheme="minorHAnsi"/>
                <w:sz w:val="22"/>
                <w:lang w:val="en-GB"/>
              </w:rPr>
            </w:pPr>
            <w:r w:rsidRPr="006D6D23">
              <w:rPr>
                <w:rFonts w:asciiTheme="minorHAnsi" w:hAnsiTheme="minorHAnsi" w:cstheme="minorHAnsi"/>
                <w:sz w:val="22"/>
                <w:lang w:val="en-GB"/>
              </w:rPr>
              <w:t>Verify that communication and publication costs are valid</w:t>
            </w:r>
            <w:r>
              <w:rPr>
                <w:rFonts w:asciiTheme="minorHAnsi" w:hAnsiTheme="minorHAnsi" w:cstheme="minorHAnsi"/>
                <w:sz w:val="22"/>
                <w:lang w:val="en-GB"/>
              </w:rPr>
              <w:t xml:space="preserve"> (Par. 1.8 and related Appendices of </w:t>
            </w:r>
            <w:r w:rsidRPr="001176B7">
              <w:rPr>
                <w:rFonts w:asciiTheme="minorHAnsi" w:hAnsiTheme="minorHAnsi" w:cstheme="minorHAnsi"/>
                <w:sz w:val="22"/>
                <w:lang w:val="en-GB"/>
              </w:rPr>
              <w:t>Operational Guidance for Grant Budgeting</w:t>
            </w:r>
            <w:r>
              <w:rPr>
                <w:rFonts w:asciiTheme="minorHAnsi" w:hAnsiTheme="minorHAnsi" w:cstheme="minorHAnsi"/>
                <w:sz w:val="22"/>
                <w:lang w:val="en-GB"/>
              </w:rPr>
              <w:t>)</w:t>
            </w:r>
          </w:p>
        </w:tc>
        <w:tc>
          <w:tcPr>
            <w:tcW w:w="3458" w:type="pct"/>
          </w:tcPr>
          <w:p w14:paraId="0D4CC8FE" w14:textId="77777777" w:rsidR="006C36E6" w:rsidRPr="006D6D23" w:rsidRDefault="006C36E6" w:rsidP="00A63771">
            <w:pPr>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Review the communications strategy for the Program and the expected impact of the individual communication activities on target groups.</w:t>
            </w:r>
          </w:p>
          <w:p w14:paraId="55C78021" w14:textId="77777777" w:rsidR="006C36E6" w:rsidRPr="006D6D23" w:rsidRDefault="006C36E6" w:rsidP="00A63771">
            <w:pPr>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Review the expenses to demonstrat</w:t>
            </w:r>
            <w:r>
              <w:rPr>
                <w:rFonts w:asciiTheme="minorHAnsi" w:hAnsiTheme="minorHAnsi" w:cstheme="minorHAnsi"/>
                <w:sz w:val="22"/>
                <w:lang w:val="en-ZA"/>
              </w:rPr>
              <w:t>e</w:t>
            </w:r>
            <w:r w:rsidRPr="006D6D23">
              <w:rPr>
                <w:rFonts w:asciiTheme="minorHAnsi" w:hAnsiTheme="minorHAnsi" w:cstheme="minorHAnsi"/>
                <w:sz w:val="22"/>
                <w:lang w:val="en-ZA"/>
              </w:rPr>
              <w:t xml:space="preserve"> </w:t>
            </w:r>
            <w:r>
              <w:rPr>
                <w:rFonts w:asciiTheme="minorHAnsi" w:hAnsiTheme="minorHAnsi" w:cstheme="minorHAnsi"/>
                <w:sz w:val="22"/>
                <w:lang w:val="en-ZA"/>
              </w:rPr>
              <w:t>value-for-money (</w:t>
            </w:r>
            <w:proofErr w:type="spellStart"/>
            <w:r w:rsidRPr="006D6D23">
              <w:rPr>
                <w:rFonts w:asciiTheme="minorHAnsi" w:hAnsiTheme="minorHAnsi" w:cstheme="minorHAnsi"/>
                <w:sz w:val="22"/>
                <w:lang w:val="en-ZA"/>
              </w:rPr>
              <w:t>VfM</w:t>
            </w:r>
            <w:proofErr w:type="spellEnd"/>
            <w:r>
              <w:rPr>
                <w:rFonts w:asciiTheme="minorHAnsi" w:hAnsiTheme="minorHAnsi" w:cstheme="minorHAnsi"/>
                <w:sz w:val="22"/>
                <w:lang w:val="en-ZA"/>
              </w:rPr>
              <w:t>)</w:t>
            </w:r>
            <w:r w:rsidRPr="006D6D23">
              <w:rPr>
                <w:rFonts w:asciiTheme="minorHAnsi" w:hAnsiTheme="minorHAnsi" w:cstheme="minorHAnsi"/>
                <w:sz w:val="22"/>
                <w:lang w:val="en-ZA"/>
              </w:rPr>
              <w:t xml:space="preserve"> of the selected communications interventions, through the following:</w:t>
            </w:r>
          </w:p>
          <w:p w14:paraId="618B533E" w14:textId="77777777" w:rsidR="006C36E6" w:rsidRDefault="006C36E6" w:rsidP="006C36E6">
            <w:pPr>
              <w:pStyle w:val="ListParagraph"/>
              <w:numPr>
                <w:ilvl w:val="0"/>
                <w:numId w:val="40"/>
              </w:numPr>
              <w:spacing w:before="100" w:after="100" w:line="240" w:lineRule="auto"/>
              <w:rPr>
                <w:rFonts w:asciiTheme="minorHAnsi" w:hAnsiTheme="minorHAnsi" w:cstheme="minorHAnsi"/>
                <w:sz w:val="22"/>
                <w:lang w:val="en-ZA"/>
              </w:rPr>
            </w:pPr>
            <w:r w:rsidRPr="006D6D23">
              <w:rPr>
                <w:rFonts w:asciiTheme="minorHAnsi" w:hAnsiTheme="minorHAnsi" w:cstheme="minorHAnsi"/>
                <w:b/>
                <w:bCs/>
                <w:sz w:val="22"/>
                <w:lang w:val="en-ZA"/>
              </w:rPr>
              <w:t xml:space="preserve">economy </w:t>
            </w:r>
            <w:r w:rsidRPr="006D6D23">
              <w:rPr>
                <w:rFonts w:asciiTheme="minorHAnsi" w:hAnsiTheme="minorHAnsi" w:cstheme="minorHAnsi"/>
                <w:sz w:val="22"/>
                <w:lang w:val="en-ZA"/>
              </w:rPr>
              <w:t>– how the best available prices have been budgeted for externally sourced services for the required specifications; and</w:t>
            </w:r>
          </w:p>
          <w:p w14:paraId="390568E3" w14:textId="77777777" w:rsidR="006C36E6" w:rsidRPr="00FA530C" w:rsidRDefault="006C36E6" w:rsidP="006C36E6">
            <w:pPr>
              <w:pStyle w:val="ListParagraph"/>
              <w:numPr>
                <w:ilvl w:val="0"/>
                <w:numId w:val="40"/>
              </w:numPr>
              <w:spacing w:before="100" w:after="100" w:line="240" w:lineRule="auto"/>
              <w:rPr>
                <w:rFonts w:asciiTheme="minorHAnsi" w:hAnsiTheme="minorHAnsi" w:cstheme="minorHAnsi"/>
                <w:sz w:val="22"/>
                <w:lang w:val="en-ZA"/>
              </w:rPr>
            </w:pPr>
            <w:r w:rsidRPr="00FA530C">
              <w:rPr>
                <w:rFonts w:asciiTheme="minorHAnsi" w:hAnsiTheme="minorHAnsi" w:cstheme="minorHAnsi"/>
                <w:b/>
                <w:bCs/>
                <w:sz w:val="22"/>
                <w:lang w:val="en-ZA"/>
              </w:rPr>
              <w:t>efficiency</w:t>
            </w:r>
            <w:r w:rsidRPr="00FA530C">
              <w:rPr>
                <w:rFonts w:asciiTheme="minorHAnsi" w:hAnsiTheme="minorHAnsi" w:cstheme="minorHAnsi"/>
                <w:sz w:val="22"/>
                <w:lang w:val="en-ZA"/>
              </w:rPr>
              <w:t xml:space="preserve"> – all reasonable options have been assessed to calculate the best possible cost to reach the maximum </w:t>
            </w:r>
            <w:r w:rsidRPr="00FA530C">
              <w:rPr>
                <w:rFonts w:asciiTheme="minorHAnsi" w:hAnsiTheme="minorHAnsi" w:cstheme="minorHAnsi"/>
                <w:sz w:val="22"/>
                <w:lang w:val="en-ZA"/>
              </w:rPr>
              <w:lastRenderedPageBreak/>
              <w:t>numbers of beneficiaries, e.g., using inhouse capacity at lower cost or using materials already available instead of developing new ones.</w:t>
            </w:r>
          </w:p>
          <w:p w14:paraId="1F958D81" w14:textId="77777777" w:rsidR="006C36E6" w:rsidRPr="006D6D23" w:rsidRDefault="006C36E6" w:rsidP="00A63771">
            <w:pPr>
              <w:spacing w:before="100" w:after="100" w:line="240" w:lineRule="auto"/>
              <w:rPr>
                <w:rFonts w:asciiTheme="minorHAnsi" w:hAnsiTheme="minorHAnsi" w:cstheme="minorHAnsi"/>
                <w:sz w:val="22"/>
                <w:lang w:val="en-ZA"/>
              </w:rPr>
            </w:pPr>
            <w:r w:rsidRPr="006D6D23">
              <w:rPr>
                <w:rFonts w:asciiTheme="minorHAnsi" w:hAnsiTheme="minorHAnsi" w:cstheme="minorHAnsi"/>
                <w:sz w:val="22"/>
                <w:lang w:val="en-ZA"/>
              </w:rPr>
              <w:t>Review the Principal Recipient’s documented policies and procedures around managing printed materials, including storage and distribution procedures, regular inventory counts, waste and loss prevention</w:t>
            </w:r>
            <w:r>
              <w:rPr>
                <w:rFonts w:asciiTheme="minorHAnsi" w:hAnsiTheme="minorHAnsi" w:cstheme="minorHAnsi"/>
                <w:sz w:val="22"/>
                <w:lang w:val="en-ZA"/>
              </w:rPr>
              <w:t>.</w:t>
            </w:r>
          </w:p>
        </w:tc>
      </w:tr>
    </w:tbl>
    <w:p w14:paraId="2342CC4F" w14:textId="77777777" w:rsidR="006C36E6" w:rsidRPr="006D6D23" w:rsidRDefault="006C36E6" w:rsidP="006C36E6">
      <w:pPr>
        <w:spacing w:before="100" w:after="100" w:line="240" w:lineRule="auto"/>
        <w:rPr>
          <w:rFonts w:asciiTheme="minorHAnsi" w:hAnsiTheme="minorHAnsi" w:cstheme="minorHAnsi"/>
          <w:b/>
          <w:bCs/>
          <w:sz w:val="22"/>
          <w:u w:val="single"/>
          <w:lang w:val="en-GB"/>
        </w:rPr>
      </w:pPr>
      <w:r w:rsidRPr="006D6D23">
        <w:rPr>
          <w:rFonts w:asciiTheme="minorHAnsi" w:hAnsiTheme="minorHAnsi" w:cstheme="minorHAnsi"/>
          <w:b/>
          <w:bCs/>
          <w:sz w:val="22"/>
          <w:u w:val="single"/>
          <w:lang w:val="en-GB"/>
        </w:rPr>
        <w:lastRenderedPageBreak/>
        <w:br w:type="page"/>
      </w:r>
    </w:p>
    <w:p w14:paraId="54A4B802" w14:textId="77777777" w:rsidR="006C36E6" w:rsidRPr="006D6D23" w:rsidRDefault="006C36E6" w:rsidP="006C36E6">
      <w:pPr>
        <w:pStyle w:val="ListParagraph"/>
        <w:numPr>
          <w:ilvl w:val="0"/>
          <w:numId w:val="27"/>
        </w:numPr>
        <w:spacing w:before="100" w:after="100" w:line="240" w:lineRule="auto"/>
        <w:rPr>
          <w:rFonts w:asciiTheme="minorHAnsi" w:hAnsiTheme="minorHAnsi" w:cstheme="minorHAnsi"/>
          <w:b/>
          <w:sz w:val="22"/>
          <w:u w:val="single"/>
          <w:lang w:val="en-GB"/>
        </w:rPr>
      </w:pPr>
      <w:r w:rsidRPr="006D6D23">
        <w:rPr>
          <w:rFonts w:asciiTheme="minorHAnsi" w:hAnsiTheme="minorHAnsi" w:cstheme="minorHAnsi"/>
          <w:b/>
          <w:sz w:val="22"/>
          <w:u w:val="single"/>
          <w:lang w:val="en-GB"/>
        </w:rPr>
        <w:lastRenderedPageBreak/>
        <w:t>Required Deliverable/Output</w:t>
      </w:r>
    </w:p>
    <w:p w14:paraId="044A703B" w14:textId="77777777" w:rsidR="00725C7A" w:rsidRPr="0075306C" w:rsidRDefault="00725C7A" w:rsidP="00725C7A">
      <w:pPr>
        <w:spacing w:before="100" w:after="100" w:line="240" w:lineRule="auto"/>
        <w:rPr>
          <w:rFonts w:cs="Arial"/>
          <w:sz w:val="20"/>
          <w:szCs w:val="20"/>
          <w:lang w:val="en-GB"/>
        </w:rPr>
      </w:pPr>
      <w:r>
        <w:rPr>
          <w:rFonts w:asciiTheme="minorHAnsi" w:hAnsiTheme="minorHAnsi" w:cstheme="minorHAnsi"/>
          <w:sz w:val="22"/>
          <w:lang w:val="en-GB"/>
        </w:rPr>
        <w:t xml:space="preserve">To document </w:t>
      </w:r>
      <w:r w:rsidRPr="00546A5B">
        <w:rPr>
          <w:rFonts w:asciiTheme="minorHAnsi" w:hAnsiTheme="minorHAnsi" w:cstheme="minorHAnsi"/>
          <w:sz w:val="22"/>
          <w:lang w:val="en-GB"/>
        </w:rPr>
        <w:t>the outcome</w:t>
      </w:r>
      <w:r>
        <w:rPr>
          <w:rFonts w:asciiTheme="minorHAnsi" w:hAnsiTheme="minorHAnsi" w:cstheme="minorHAnsi"/>
          <w:sz w:val="22"/>
          <w:lang w:val="en-GB"/>
        </w:rPr>
        <w:t>s</w:t>
      </w:r>
      <w:r w:rsidRPr="00546A5B">
        <w:rPr>
          <w:rFonts w:asciiTheme="minorHAnsi" w:hAnsiTheme="minorHAnsi" w:cstheme="minorHAnsi"/>
          <w:sz w:val="22"/>
          <w:lang w:val="en-GB"/>
        </w:rPr>
        <w:t xml:space="preserve"> of the review, the Assurance provider will prepare and submit a detailed report including:</w:t>
      </w:r>
    </w:p>
    <w:p w14:paraId="36C036A4" w14:textId="77777777" w:rsidR="00725C7A" w:rsidRDefault="00725C7A" w:rsidP="00725C7A">
      <w:pPr>
        <w:pStyle w:val="ListParagraph"/>
        <w:numPr>
          <w:ilvl w:val="0"/>
          <w:numId w:val="41"/>
        </w:numPr>
        <w:shd w:val="clear" w:color="auto" w:fill="FFFFFF"/>
        <w:spacing w:before="100" w:after="100" w:line="240" w:lineRule="auto"/>
        <w:jc w:val="both"/>
        <w:rPr>
          <w:rFonts w:asciiTheme="minorHAnsi" w:hAnsiTheme="minorHAnsi" w:cstheme="minorHAnsi"/>
          <w:sz w:val="22"/>
          <w:lang w:val="en-GB"/>
        </w:rPr>
      </w:pPr>
      <w:r w:rsidRPr="00546A5B">
        <w:rPr>
          <w:rFonts w:asciiTheme="minorHAnsi" w:hAnsiTheme="minorHAnsi" w:cstheme="minorHAnsi"/>
          <w:sz w:val="22"/>
          <w:lang w:val="en-GB"/>
        </w:rPr>
        <w:t>Overall objectives of the review as per approved TOR</w:t>
      </w:r>
    </w:p>
    <w:p w14:paraId="06FCF5B1" w14:textId="77777777" w:rsidR="00725C7A" w:rsidRDefault="00725C7A" w:rsidP="00725C7A">
      <w:pPr>
        <w:pStyle w:val="ListParagraph"/>
        <w:numPr>
          <w:ilvl w:val="0"/>
          <w:numId w:val="41"/>
        </w:numPr>
        <w:shd w:val="clear" w:color="auto" w:fill="FFFFFF"/>
        <w:spacing w:before="100" w:after="100" w:line="240" w:lineRule="auto"/>
        <w:jc w:val="both"/>
        <w:rPr>
          <w:rFonts w:asciiTheme="minorHAnsi" w:hAnsiTheme="minorHAnsi" w:cstheme="minorHAnsi"/>
          <w:sz w:val="22"/>
          <w:lang w:val="en-GB"/>
        </w:rPr>
      </w:pPr>
      <w:r>
        <w:rPr>
          <w:rFonts w:asciiTheme="minorHAnsi" w:hAnsiTheme="minorHAnsi" w:cstheme="minorHAnsi"/>
          <w:sz w:val="22"/>
          <w:lang w:val="en-GB"/>
        </w:rPr>
        <w:t xml:space="preserve">Entities covered by the assignment, period and sample under review as applicable </w:t>
      </w:r>
    </w:p>
    <w:p w14:paraId="316A3F0C" w14:textId="6ED2DD1A" w:rsidR="00725C7A" w:rsidRDefault="00725C7A" w:rsidP="00725C7A">
      <w:pPr>
        <w:pStyle w:val="ListParagraph"/>
        <w:numPr>
          <w:ilvl w:val="0"/>
          <w:numId w:val="41"/>
        </w:numPr>
        <w:shd w:val="clear" w:color="auto" w:fill="FFFFFF"/>
        <w:spacing w:before="100" w:after="100" w:line="240" w:lineRule="auto"/>
        <w:jc w:val="both"/>
        <w:rPr>
          <w:rFonts w:asciiTheme="minorHAnsi" w:hAnsiTheme="minorHAnsi" w:cstheme="minorHAnsi"/>
          <w:sz w:val="22"/>
          <w:lang w:val="en-GB"/>
        </w:rPr>
      </w:pPr>
      <w:r w:rsidRPr="00546A5B">
        <w:rPr>
          <w:rFonts w:asciiTheme="minorHAnsi" w:hAnsiTheme="minorHAnsi" w:cstheme="minorHAnsi"/>
          <w:sz w:val="22"/>
          <w:lang w:val="en-GB"/>
        </w:rPr>
        <w:t>Main findings against each of the specific areas of the review highlighting any identified gaps in policy, process, and controls – specific to each implementer</w:t>
      </w:r>
      <w:r w:rsidR="000F7018">
        <w:rPr>
          <w:rFonts w:asciiTheme="minorHAnsi" w:hAnsiTheme="minorHAnsi" w:cstheme="minorHAnsi"/>
          <w:sz w:val="22"/>
          <w:lang w:val="en-GB"/>
        </w:rPr>
        <w:t xml:space="preserve"> </w:t>
      </w:r>
      <w:r w:rsidR="000F7018">
        <w:rPr>
          <w:rFonts w:asciiTheme="minorHAnsi" w:hAnsiTheme="minorHAnsi" w:cstheme="minorHAnsi"/>
          <w:sz w:val="22"/>
          <w:lang w:val="en-GB"/>
        </w:rPr>
        <w:t>covered by the review</w:t>
      </w:r>
      <w:r w:rsidRPr="00546A5B">
        <w:rPr>
          <w:rFonts w:asciiTheme="minorHAnsi" w:hAnsiTheme="minorHAnsi" w:cstheme="minorHAnsi"/>
          <w:sz w:val="22"/>
          <w:lang w:val="en-GB"/>
        </w:rPr>
        <w:t>.</w:t>
      </w:r>
    </w:p>
    <w:p w14:paraId="54018E98" w14:textId="77777777" w:rsidR="00725C7A" w:rsidRPr="00546A5B" w:rsidRDefault="00725C7A" w:rsidP="00725C7A">
      <w:pPr>
        <w:pStyle w:val="ListParagraph"/>
        <w:numPr>
          <w:ilvl w:val="0"/>
          <w:numId w:val="41"/>
        </w:numPr>
        <w:shd w:val="clear" w:color="auto" w:fill="FFFFFF" w:themeFill="background1"/>
        <w:spacing w:before="100" w:after="100" w:line="240" w:lineRule="auto"/>
        <w:jc w:val="both"/>
        <w:rPr>
          <w:rFonts w:asciiTheme="minorHAnsi" w:hAnsiTheme="minorHAnsi"/>
          <w:sz w:val="22"/>
          <w:lang w:val="en-GB"/>
        </w:rPr>
      </w:pPr>
      <w:r>
        <w:rPr>
          <w:rFonts w:asciiTheme="minorHAnsi" w:hAnsiTheme="minorHAnsi"/>
          <w:sz w:val="22"/>
          <w:lang w:val="en-GB"/>
        </w:rPr>
        <w:t>L</w:t>
      </w:r>
      <w:r w:rsidRPr="3503FE5A">
        <w:rPr>
          <w:rFonts w:asciiTheme="minorHAnsi" w:hAnsiTheme="minorHAnsi"/>
          <w:sz w:val="22"/>
          <w:lang w:val="en-GB"/>
        </w:rPr>
        <w:t xml:space="preserve">ist of recommendations and </w:t>
      </w:r>
      <w:r>
        <w:rPr>
          <w:rFonts w:asciiTheme="minorHAnsi" w:hAnsiTheme="minorHAnsi"/>
          <w:sz w:val="22"/>
          <w:lang w:val="en-GB"/>
        </w:rPr>
        <w:t xml:space="preserve">proposed </w:t>
      </w:r>
      <w:r w:rsidRPr="3503FE5A">
        <w:rPr>
          <w:rFonts w:asciiTheme="minorHAnsi" w:hAnsiTheme="minorHAnsi"/>
          <w:sz w:val="22"/>
          <w:lang w:val="en-GB"/>
        </w:rPr>
        <w:t>practical improvements based on the findings from the ass</w:t>
      </w:r>
      <w:r>
        <w:rPr>
          <w:rFonts w:asciiTheme="minorHAnsi" w:hAnsiTheme="minorHAnsi"/>
          <w:sz w:val="22"/>
          <w:lang w:val="en-GB"/>
        </w:rPr>
        <w:t>ignment</w:t>
      </w:r>
      <w:r w:rsidRPr="3503FE5A">
        <w:rPr>
          <w:rFonts w:asciiTheme="minorHAnsi" w:hAnsiTheme="minorHAnsi"/>
          <w:sz w:val="22"/>
          <w:lang w:val="en-GB"/>
        </w:rPr>
        <w:t>.</w:t>
      </w:r>
    </w:p>
    <w:p w14:paraId="55977766" w14:textId="77777777" w:rsidR="006C36E6" w:rsidRDefault="006C36E6" w:rsidP="006C36E6">
      <w:pPr>
        <w:tabs>
          <w:tab w:val="left" w:pos="920"/>
        </w:tabs>
        <w:spacing w:before="100" w:after="100" w:line="240" w:lineRule="auto"/>
        <w:rPr>
          <w:rFonts w:asciiTheme="minorHAnsi" w:hAnsiTheme="minorHAnsi" w:cstheme="minorHAnsi"/>
          <w:sz w:val="22"/>
          <w:lang w:val="en-GB"/>
        </w:rPr>
      </w:pPr>
    </w:p>
    <w:p w14:paraId="2ECC75CC" w14:textId="1E7B8FDF" w:rsidR="006C36E6" w:rsidRPr="006D6D23" w:rsidRDefault="006C36E6" w:rsidP="006C36E6">
      <w:pPr>
        <w:tabs>
          <w:tab w:val="left" w:pos="920"/>
        </w:tabs>
        <w:spacing w:before="100" w:after="100" w:line="240" w:lineRule="auto"/>
        <w:rPr>
          <w:rFonts w:asciiTheme="minorHAnsi" w:hAnsiTheme="minorHAnsi" w:cstheme="minorHAnsi"/>
          <w:sz w:val="22"/>
          <w:lang w:val="en-GB"/>
        </w:rPr>
      </w:pPr>
      <w:r w:rsidRPr="006D6D23">
        <w:rPr>
          <w:rFonts w:asciiTheme="minorHAnsi" w:hAnsiTheme="minorHAnsi" w:cstheme="minorHAnsi"/>
          <w:sz w:val="22"/>
          <w:lang w:val="en-GB"/>
        </w:rPr>
        <w:t xml:space="preserve">Complete the </w:t>
      </w:r>
      <w:r w:rsidR="006D3E37">
        <w:rPr>
          <w:rFonts w:asciiTheme="minorHAnsi" w:hAnsiTheme="minorHAnsi" w:cstheme="minorHAnsi"/>
          <w:sz w:val="22"/>
          <w:lang w:val="en-GB"/>
        </w:rPr>
        <w:t xml:space="preserve">following </w:t>
      </w:r>
      <w:r w:rsidRPr="006D6D23">
        <w:rPr>
          <w:rFonts w:asciiTheme="minorHAnsi" w:hAnsiTheme="minorHAnsi" w:cstheme="minorHAnsi"/>
          <w:sz w:val="22"/>
          <w:lang w:val="en-GB"/>
        </w:rPr>
        <w:t>table:</w:t>
      </w:r>
    </w:p>
    <w:tbl>
      <w:tblPr>
        <w:tblStyle w:val="TableGrid"/>
        <w:tblW w:w="5000" w:type="pct"/>
        <w:tblLook w:val="04A0" w:firstRow="1" w:lastRow="0" w:firstColumn="1" w:lastColumn="0" w:noHBand="0" w:noVBand="1"/>
      </w:tblPr>
      <w:tblGrid>
        <w:gridCol w:w="2434"/>
        <w:gridCol w:w="2436"/>
        <w:gridCol w:w="2435"/>
        <w:gridCol w:w="2435"/>
      </w:tblGrid>
      <w:tr w:rsidR="006C36E6" w:rsidRPr="006D6D23" w14:paraId="73966D29" w14:textId="77777777" w:rsidTr="007972FB">
        <w:tc>
          <w:tcPr>
            <w:tcW w:w="124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CFE29B" w14:textId="77777777" w:rsidR="006C36E6" w:rsidRPr="006D6D23" w:rsidRDefault="006C36E6" w:rsidP="00A63771">
            <w:pPr>
              <w:spacing w:before="100" w:after="100" w:line="240" w:lineRule="auto"/>
              <w:rPr>
                <w:rFonts w:asciiTheme="minorHAnsi" w:hAnsiTheme="minorHAnsi" w:cstheme="minorHAnsi"/>
                <w:b/>
                <w:bCs/>
                <w:sz w:val="22"/>
              </w:rPr>
            </w:pPr>
            <w:r w:rsidRPr="006D6D23">
              <w:rPr>
                <w:rFonts w:asciiTheme="minorHAnsi" w:hAnsiTheme="minorHAnsi" w:cstheme="minorHAnsi"/>
                <w:b/>
                <w:bCs/>
                <w:sz w:val="22"/>
              </w:rPr>
              <w:t>Findings</w:t>
            </w:r>
          </w:p>
        </w:tc>
        <w:tc>
          <w:tcPr>
            <w:tcW w:w="125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3549CB" w14:textId="77777777" w:rsidR="006C36E6" w:rsidRPr="006D6D23" w:rsidRDefault="006C36E6" w:rsidP="00A63771">
            <w:pPr>
              <w:spacing w:before="100" w:after="100" w:line="240" w:lineRule="auto"/>
              <w:rPr>
                <w:rFonts w:asciiTheme="minorHAnsi" w:hAnsiTheme="minorHAnsi" w:cstheme="minorHAnsi"/>
                <w:b/>
                <w:bCs/>
                <w:sz w:val="22"/>
              </w:rPr>
            </w:pPr>
            <w:r w:rsidRPr="006D6D23">
              <w:rPr>
                <w:rFonts w:asciiTheme="minorHAnsi" w:hAnsiTheme="minorHAnsi" w:cstheme="minorHAnsi"/>
                <w:b/>
                <w:bCs/>
                <w:sz w:val="22"/>
              </w:rPr>
              <w:t>Non-Compliant Expenditure</w:t>
            </w:r>
          </w:p>
        </w:tc>
        <w:tc>
          <w:tcPr>
            <w:tcW w:w="125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5CE9C2" w14:textId="77777777" w:rsidR="006C36E6" w:rsidRPr="006D6D23" w:rsidRDefault="006C36E6" w:rsidP="00A63771">
            <w:pPr>
              <w:spacing w:before="100" w:after="100" w:line="240" w:lineRule="auto"/>
              <w:rPr>
                <w:rFonts w:asciiTheme="minorHAnsi" w:hAnsiTheme="minorHAnsi" w:cstheme="minorHAnsi"/>
                <w:b/>
                <w:bCs/>
                <w:sz w:val="22"/>
              </w:rPr>
            </w:pPr>
            <w:r w:rsidRPr="006D6D23">
              <w:rPr>
                <w:rFonts w:asciiTheme="minorHAnsi" w:hAnsiTheme="minorHAnsi" w:cstheme="minorHAnsi"/>
                <w:b/>
                <w:bCs/>
                <w:sz w:val="22"/>
              </w:rPr>
              <w:t>Other proposed adjustments</w:t>
            </w:r>
          </w:p>
        </w:tc>
        <w:tc>
          <w:tcPr>
            <w:tcW w:w="125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0785D" w14:textId="77777777" w:rsidR="006C36E6" w:rsidRPr="006D6D23" w:rsidRDefault="006C36E6" w:rsidP="00A63771">
            <w:pPr>
              <w:spacing w:before="100" w:after="100" w:line="240" w:lineRule="auto"/>
              <w:rPr>
                <w:rFonts w:asciiTheme="minorHAnsi" w:hAnsiTheme="minorHAnsi"/>
                <w:b/>
                <w:bCs/>
                <w:sz w:val="22"/>
              </w:rPr>
            </w:pPr>
            <w:r w:rsidRPr="12F55DBE">
              <w:rPr>
                <w:rFonts w:asciiTheme="minorHAnsi" w:hAnsiTheme="minorHAnsi"/>
                <w:b/>
                <w:bCs/>
                <w:sz w:val="22"/>
              </w:rPr>
              <w:t>Recommended Management Actions</w:t>
            </w:r>
          </w:p>
        </w:tc>
      </w:tr>
      <w:tr w:rsidR="006C36E6" w:rsidRPr="006D6D23" w14:paraId="4FBDA72F" w14:textId="77777777" w:rsidTr="007972FB">
        <w:tc>
          <w:tcPr>
            <w:tcW w:w="1249" w:type="pct"/>
            <w:tcBorders>
              <w:top w:val="single" w:sz="8" w:space="0" w:color="000000" w:themeColor="text1"/>
            </w:tcBorders>
          </w:tcPr>
          <w:p w14:paraId="6CE6B4F4" w14:textId="77777777" w:rsidR="006C36E6" w:rsidRPr="006D6D23" w:rsidRDefault="006C36E6" w:rsidP="00A63771">
            <w:pPr>
              <w:spacing w:before="100" w:after="100" w:line="240" w:lineRule="auto"/>
              <w:rPr>
                <w:rFonts w:asciiTheme="minorHAnsi" w:hAnsiTheme="minorHAnsi" w:cstheme="minorHAnsi"/>
                <w:sz w:val="22"/>
              </w:rPr>
            </w:pPr>
          </w:p>
        </w:tc>
        <w:tc>
          <w:tcPr>
            <w:tcW w:w="1250" w:type="pct"/>
            <w:tcBorders>
              <w:top w:val="single" w:sz="8" w:space="0" w:color="000000" w:themeColor="text1"/>
            </w:tcBorders>
          </w:tcPr>
          <w:p w14:paraId="69B8E69B" w14:textId="77777777" w:rsidR="006C36E6" w:rsidRPr="006D6D23" w:rsidRDefault="006C36E6" w:rsidP="00A63771">
            <w:pPr>
              <w:spacing w:before="100" w:after="100" w:line="240" w:lineRule="auto"/>
              <w:rPr>
                <w:rFonts w:asciiTheme="minorHAnsi" w:hAnsiTheme="minorHAnsi" w:cstheme="minorHAnsi"/>
                <w:sz w:val="22"/>
              </w:rPr>
            </w:pPr>
          </w:p>
        </w:tc>
        <w:tc>
          <w:tcPr>
            <w:tcW w:w="1250" w:type="pct"/>
            <w:tcBorders>
              <w:top w:val="single" w:sz="8" w:space="0" w:color="000000" w:themeColor="text1"/>
            </w:tcBorders>
          </w:tcPr>
          <w:p w14:paraId="7573ACC9" w14:textId="77777777" w:rsidR="006C36E6" w:rsidRPr="006D6D23" w:rsidRDefault="006C36E6" w:rsidP="00A63771">
            <w:pPr>
              <w:spacing w:before="100" w:after="100" w:line="240" w:lineRule="auto"/>
              <w:rPr>
                <w:rFonts w:asciiTheme="minorHAnsi" w:hAnsiTheme="minorHAnsi" w:cstheme="minorHAnsi"/>
                <w:sz w:val="22"/>
              </w:rPr>
            </w:pPr>
          </w:p>
        </w:tc>
        <w:tc>
          <w:tcPr>
            <w:tcW w:w="1250" w:type="pct"/>
            <w:tcBorders>
              <w:top w:val="single" w:sz="8" w:space="0" w:color="000000" w:themeColor="text1"/>
            </w:tcBorders>
          </w:tcPr>
          <w:p w14:paraId="71B88B1C" w14:textId="77777777" w:rsidR="006C36E6" w:rsidRPr="006D6D23" w:rsidRDefault="006C36E6" w:rsidP="00A63771">
            <w:pPr>
              <w:spacing w:before="100" w:after="100" w:line="240" w:lineRule="auto"/>
              <w:rPr>
                <w:rFonts w:asciiTheme="minorHAnsi" w:hAnsiTheme="minorHAnsi" w:cstheme="minorHAnsi"/>
                <w:sz w:val="22"/>
              </w:rPr>
            </w:pPr>
          </w:p>
        </w:tc>
      </w:tr>
      <w:tr w:rsidR="006C36E6" w:rsidRPr="006D6D23" w14:paraId="7DC8F6F8" w14:textId="77777777" w:rsidTr="007972FB">
        <w:tc>
          <w:tcPr>
            <w:tcW w:w="1249" w:type="pct"/>
          </w:tcPr>
          <w:p w14:paraId="39C39336" w14:textId="77777777" w:rsidR="006C36E6" w:rsidRPr="006D6D23" w:rsidRDefault="006C36E6" w:rsidP="00A63771">
            <w:pPr>
              <w:spacing w:before="100" w:after="100" w:line="240" w:lineRule="auto"/>
              <w:rPr>
                <w:rFonts w:asciiTheme="minorHAnsi" w:hAnsiTheme="minorHAnsi" w:cstheme="minorHAnsi"/>
                <w:sz w:val="22"/>
              </w:rPr>
            </w:pPr>
          </w:p>
        </w:tc>
        <w:tc>
          <w:tcPr>
            <w:tcW w:w="1250" w:type="pct"/>
          </w:tcPr>
          <w:p w14:paraId="1EF34FFE" w14:textId="77777777" w:rsidR="006C36E6" w:rsidRPr="006D6D23" w:rsidRDefault="006C36E6" w:rsidP="00A63771">
            <w:pPr>
              <w:spacing w:before="100" w:after="100" w:line="240" w:lineRule="auto"/>
              <w:rPr>
                <w:rFonts w:asciiTheme="minorHAnsi" w:hAnsiTheme="minorHAnsi" w:cstheme="minorHAnsi"/>
                <w:sz w:val="22"/>
              </w:rPr>
            </w:pPr>
          </w:p>
        </w:tc>
        <w:tc>
          <w:tcPr>
            <w:tcW w:w="1250" w:type="pct"/>
          </w:tcPr>
          <w:p w14:paraId="775080C9" w14:textId="77777777" w:rsidR="006C36E6" w:rsidRPr="006D6D23" w:rsidRDefault="006C36E6" w:rsidP="00A63771">
            <w:pPr>
              <w:spacing w:before="100" w:after="100" w:line="240" w:lineRule="auto"/>
              <w:rPr>
                <w:rFonts w:asciiTheme="minorHAnsi" w:hAnsiTheme="minorHAnsi" w:cstheme="minorHAnsi"/>
                <w:sz w:val="22"/>
              </w:rPr>
            </w:pPr>
          </w:p>
        </w:tc>
        <w:tc>
          <w:tcPr>
            <w:tcW w:w="1250" w:type="pct"/>
          </w:tcPr>
          <w:p w14:paraId="6669A417" w14:textId="77777777" w:rsidR="006C36E6" w:rsidRPr="006D6D23" w:rsidRDefault="006C36E6" w:rsidP="00A63771">
            <w:pPr>
              <w:spacing w:before="100" w:after="100" w:line="240" w:lineRule="auto"/>
              <w:rPr>
                <w:rFonts w:asciiTheme="minorHAnsi" w:hAnsiTheme="minorHAnsi" w:cstheme="minorHAnsi"/>
                <w:sz w:val="22"/>
              </w:rPr>
            </w:pPr>
          </w:p>
        </w:tc>
      </w:tr>
    </w:tbl>
    <w:p w14:paraId="21B78886" w14:textId="77777777" w:rsidR="006C36E6" w:rsidRPr="006D6D23" w:rsidRDefault="006C36E6" w:rsidP="006C36E6">
      <w:pPr>
        <w:spacing w:before="100" w:after="100" w:line="240" w:lineRule="auto"/>
        <w:jc w:val="both"/>
        <w:rPr>
          <w:rFonts w:asciiTheme="minorHAnsi" w:hAnsiTheme="minorHAnsi" w:cstheme="minorHAnsi"/>
          <w:sz w:val="22"/>
        </w:rPr>
      </w:pPr>
    </w:p>
    <w:p w14:paraId="2D09E95F" w14:textId="77777777" w:rsidR="007A450B" w:rsidRPr="00E81AC0" w:rsidRDefault="007A450B" w:rsidP="00E81AC0"/>
    <w:sectPr w:rsidR="007A450B" w:rsidRPr="00E81AC0" w:rsidSect="007972FB">
      <w:headerReference w:type="even" r:id="rId19"/>
      <w:headerReference w:type="default" r:id="rId20"/>
      <w:footerReference w:type="even" r:id="rId21"/>
      <w:footerReference w:type="default" r:id="rId22"/>
      <w:headerReference w:type="first" r:id="rId23"/>
      <w:footerReference w:type="first" r:id="rId24"/>
      <w:endnotePr>
        <w:numFmt w:val="chicago"/>
      </w:endnotePr>
      <w:pgSz w:w="11906" w:h="16838" w:code="9"/>
      <w:pgMar w:top="850" w:right="1296" w:bottom="864" w:left="85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A3107" w14:textId="77777777" w:rsidR="00FF0B5E" w:rsidRDefault="00FF0B5E" w:rsidP="0013691B">
      <w:pPr>
        <w:spacing w:after="0" w:line="240" w:lineRule="auto"/>
      </w:pPr>
      <w:r>
        <w:separator/>
      </w:r>
    </w:p>
  </w:endnote>
  <w:endnote w:type="continuationSeparator" w:id="0">
    <w:p w14:paraId="5FBC0092" w14:textId="77777777" w:rsidR="00FF0B5E" w:rsidRDefault="00FF0B5E"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451B"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71BFBC2F" w14:textId="77777777" w:rsidTr="00F602C6">
      <w:trPr>
        <w:trHeight w:val="283"/>
      </w:trPr>
      <w:tc>
        <w:tcPr>
          <w:tcW w:w="10204" w:type="dxa"/>
          <w:gridSpan w:val="2"/>
          <w:tcBorders>
            <w:top w:val="single" w:sz="4" w:space="0" w:color="auto"/>
          </w:tcBorders>
          <w:vAlign w:val="bottom"/>
        </w:tcPr>
        <w:p w14:paraId="390E3979" w14:textId="77777777" w:rsidR="004C6793" w:rsidRPr="008F46F0" w:rsidRDefault="004C6793" w:rsidP="00F602C6">
          <w:pPr>
            <w:pStyle w:val="PageNo"/>
          </w:pPr>
          <w:bookmarkStart w:id="0" w:name="_Hlk73008952"/>
        </w:p>
      </w:tc>
    </w:tr>
    <w:tr w:rsidR="004C6793" w14:paraId="0E846E26" w14:textId="77777777" w:rsidTr="00F602C6">
      <w:sdt>
        <w:sdtPr>
          <w:alias w:val="Form.DocLang.Logo_horizontal"/>
          <w:tag w:val="{&quot;templafy&quot;:{&quot;id&quot;:&quot;65a33565-c6dd-4660-a121-d9f1e7e26adc&quot;}}"/>
          <w:id w:val="1796407923"/>
          <w:picture/>
        </w:sdtPr>
        <w:sdtContent>
          <w:tc>
            <w:tcPr>
              <w:tcW w:w="5102" w:type="dxa"/>
              <w:vAlign w:val="bottom"/>
            </w:tcPr>
            <w:p w14:paraId="63A3401F" w14:textId="77777777" w:rsidR="004C6793" w:rsidRDefault="0028306D" w:rsidP="00F602C6">
              <w:pPr>
                <w:pStyle w:val="Footer"/>
              </w:pPr>
              <w:r>
                <w:rPr>
                  <w:noProof/>
                </w:rPr>
                <w:drawing>
                  <wp:inline distT="0" distB="0" distL="0" distR="0" wp14:anchorId="3205E894" wp14:editId="27B84916">
                    <wp:extent cx="1643532" cy="152280"/>
                    <wp:effectExtent l="0" t="0" r="0" b="635"/>
                    <wp:docPr id="3034275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4275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08DFD894"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6BA0CC0C" w14:textId="77777777" w:rsidTr="00F602C6">
      <w:trPr>
        <w:trHeight w:val="454"/>
      </w:trPr>
      <w:tc>
        <w:tcPr>
          <w:tcW w:w="10204" w:type="dxa"/>
          <w:gridSpan w:val="2"/>
          <w:vAlign w:val="bottom"/>
        </w:tcPr>
        <w:p w14:paraId="09826D1E" w14:textId="77777777" w:rsidR="00F602C6" w:rsidRPr="00955A75" w:rsidRDefault="00F602C6" w:rsidP="00F602C6">
          <w:pPr>
            <w:pStyle w:val="Footer"/>
            <w:rPr>
              <w:sz w:val="14"/>
              <w:szCs w:val="14"/>
            </w:rPr>
          </w:pPr>
        </w:p>
      </w:tc>
    </w:tr>
    <w:bookmarkEnd w:id="0"/>
  </w:tbl>
  <w:p w14:paraId="12C0D263"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7CCDDC10" w14:textId="77777777" w:rsidTr="000E3465">
      <w:trPr>
        <w:trHeight w:val="283"/>
      </w:trPr>
      <w:tc>
        <w:tcPr>
          <w:tcW w:w="10204" w:type="dxa"/>
          <w:gridSpan w:val="2"/>
          <w:tcBorders>
            <w:top w:val="single" w:sz="4" w:space="0" w:color="auto"/>
          </w:tcBorders>
          <w:vAlign w:val="bottom"/>
        </w:tcPr>
        <w:p w14:paraId="674C7FC0" w14:textId="77777777" w:rsidR="00026D48" w:rsidRPr="008F46F0" w:rsidRDefault="00026D48" w:rsidP="00026D48">
          <w:pPr>
            <w:pStyle w:val="PageNo"/>
          </w:pPr>
        </w:p>
      </w:tc>
    </w:tr>
    <w:tr w:rsidR="00026D48" w14:paraId="5E0D453B" w14:textId="77777777" w:rsidTr="000E3465">
      <w:sdt>
        <w:sdtPr>
          <w:alias w:val="Form.DocLang.Logo_horizontal"/>
          <w:tag w:val="{&quot;templafy&quot;:{&quot;id&quot;:&quot;8fdbaa76-593d-4759-8b7c-2f24c75c6488&quot;}}"/>
          <w:id w:val="-739715887"/>
          <w:picture/>
        </w:sdtPr>
        <w:sdtContent>
          <w:tc>
            <w:tcPr>
              <w:tcW w:w="5102" w:type="dxa"/>
              <w:vAlign w:val="bottom"/>
            </w:tcPr>
            <w:p w14:paraId="00804090" w14:textId="77777777" w:rsidR="00026D48" w:rsidRDefault="0028306D" w:rsidP="00026D48">
              <w:pPr>
                <w:pStyle w:val="Footer"/>
              </w:pPr>
              <w:r>
                <w:rPr>
                  <w:noProof/>
                </w:rPr>
                <w:drawing>
                  <wp:inline distT="0" distB="0" distL="0" distR="0" wp14:anchorId="5CC99FFC" wp14:editId="3E0B7823">
                    <wp:extent cx="1643532" cy="152280"/>
                    <wp:effectExtent l="0" t="0" r="0" b="635"/>
                    <wp:docPr id="8786238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862387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53397368"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4C83479B" w14:textId="77777777" w:rsidTr="000E3465">
      <w:trPr>
        <w:trHeight w:val="454"/>
      </w:trPr>
      <w:tc>
        <w:tcPr>
          <w:tcW w:w="10204" w:type="dxa"/>
          <w:gridSpan w:val="2"/>
          <w:vAlign w:val="bottom"/>
        </w:tcPr>
        <w:p w14:paraId="3E25D5AE" w14:textId="77777777" w:rsidR="00026D48" w:rsidRPr="00955A75" w:rsidRDefault="00026D48" w:rsidP="00026D48">
          <w:pPr>
            <w:pStyle w:val="Footer"/>
            <w:rPr>
              <w:sz w:val="14"/>
              <w:szCs w:val="14"/>
            </w:rPr>
          </w:pPr>
        </w:p>
      </w:tc>
    </w:tr>
  </w:tbl>
  <w:p w14:paraId="635EE584"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21619" w14:textId="77777777" w:rsidR="00FF0B5E" w:rsidRDefault="00FF0B5E" w:rsidP="0013691B">
      <w:pPr>
        <w:spacing w:after="0" w:line="240" w:lineRule="auto"/>
      </w:pPr>
      <w:r>
        <w:separator/>
      </w:r>
    </w:p>
  </w:footnote>
  <w:footnote w:type="continuationSeparator" w:id="0">
    <w:p w14:paraId="6E1DD5CF" w14:textId="77777777" w:rsidR="00FF0B5E" w:rsidRDefault="00FF0B5E"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E555"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44D6"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77"/>
    </w:tblGrid>
    <w:tr w:rsidR="00885674" w14:paraId="765BF448" w14:textId="77777777" w:rsidTr="007E5B22">
      <w:trPr>
        <w:trHeight w:val="454"/>
      </w:trPr>
      <w:sdt>
        <w:sdtPr>
          <w:alias w:val="Form.DocLang.Logo_stacked_colour"/>
          <w:tag w:val="{&quot;templafy&quot;:{&quot;id&quot;:&quot;a04fae4c-0079-4c07-b58e-ae011da3df96&quot;}}"/>
          <w:id w:val="471336006"/>
          <w:lock w:val="contentLocked"/>
          <w:picture/>
        </w:sdtPr>
        <w:sdtContent>
          <w:tc>
            <w:tcPr>
              <w:tcW w:w="2268" w:type="dxa"/>
              <w:tcBorders>
                <w:top w:val="nil"/>
                <w:left w:val="nil"/>
                <w:bottom w:val="nil"/>
                <w:right w:val="nil"/>
              </w:tcBorders>
            </w:tcPr>
            <w:p w14:paraId="4D05E62C" w14:textId="77777777" w:rsidR="00885674" w:rsidRDefault="00885674" w:rsidP="00885674">
              <w:pPr>
                <w:pStyle w:val="Header"/>
              </w:pPr>
              <w:r>
                <w:rPr>
                  <w:noProof/>
                </w:rPr>
                <w:drawing>
                  <wp:inline distT="0" distB="0" distL="0" distR="0" wp14:anchorId="63D8AA3B" wp14:editId="0A078017">
                    <wp:extent cx="1437770" cy="493200"/>
                    <wp:effectExtent l="0" t="0" r="8255" b="2540"/>
                    <wp:docPr id="969682578"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82578"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770" cy="493200"/>
                            </a:xfrm>
                            <a:prstGeom prst="rect">
                              <a:avLst/>
                            </a:prstGeom>
                            <a:noFill/>
                            <a:ln>
                              <a:noFill/>
                            </a:ln>
                          </pic:spPr>
                        </pic:pic>
                      </a:graphicData>
                    </a:graphic>
                  </wp:inline>
                </w:drawing>
              </w:r>
            </w:p>
          </w:tc>
        </w:sdtContent>
      </w:sdt>
    </w:tr>
  </w:tbl>
  <w:p w14:paraId="40B7673E" w14:textId="77777777" w:rsidR="00026D48" w:rsidRDefault="00026D48">
    <w:pPr>
      <w:pStyle w:val="Header"/>
    </w:pPr>
  </w:p>
  <w:p w14:paraId="57007D61" w14:textId="77777777" w:rsidR="00885674" w:rsidRDefault="00885674">
    <w:pPr>
      <w:pStyle w:val="Header"/>
    </w:pPr>
  </w:p>
  <w:p w14:paraId="48D6D37F"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045040"/>
    <w:multiLevelType w:val="hybridMultilevel"/>
    <w:tmpl w:val="945C01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7A6D4E"/>
    <w:multiLevelType w:val="multilevel"/>
    <w:tmpl w:val="17A0D06E"/>
    <w:numStyleLink w:val="NumbListAlpha"/>
  </w:abstractNum>
  <w:abstractNum w:abstractNumId="13"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6" w15:restartNumberingAfterBreak="0">
    <w:nsid w:val="2C487B11"/>
    <w:multiLevelType w:val="hybridMultilevel"/>
    <w:tmpl w:val="4F32B3F8"/>
    <w:lvl w:ilvl="0" w:tplc="DC704F94">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D0A0BFA"/>
    <w:multiLevelType w:val="hybridMultilevel"/>
    <w:tmpl w:val="21BA25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3B251A"/>
    <w:multiLevelType w:val="hybridMultilevel"/>
    <w:tmpl w:val="3F3657A8"/>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1" w15:restartNumberingAfterBreak="0">
    <w:nsid w:val="4C714575"/>
    <w:multiLevelType w:val="hybridMultilevel"/>
    <w:tmpl w:val="C4E05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FE5E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530" w:hanging="360"/>
      </w:pPr>
    </w:lvl>
    <w:lvl w:ilvl="8">
      <w:start w:val="1"/>
      <w:numFmt w:val="lowerRoman"/>
      <w:lvlText w:val="%9."/>
      <w:lvlJc w:val="left"/>
      <w:pPr>
        <w:ind w:left="3240" w:hanging="360"/>
      </w:pPr>
    </w:lvl>
  </w:abstractNum>
  <w:abstractNum w:abstractNumId="23" w15:restartNumberingAfterBreak="0">
    <w:nsid w:val="4EAC7247"/>
    <w:multiLevelType w:val="multilevel"/>
    <w:tmpl w:val="6926581A"/>
    <w:numStyleLink w:val="ArticleSection"/>
  </w:abstractNum>
  <w:abstractNum w:abstractNumId="24" w15:restartNumberingAfterBreak="0">
    <w:nsid w:val="53E77966"/>
    <w:multiLevelType w:val="hybridMultilevel"/>
    <w:tmpl w:val="E6562D78"/>
    <w:lvl w:ilvl="0" w:tplc="0409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25" w15:restartNumberingAfterBreak="0">
    <w:nsid w:val="549C1F39"/>
    <w:multiLevelType w:val="hybridMultilevel"/>
    <w:tmpl w:val="3DB6D4E2"/>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50D158A"/>
    <w:multiLevelType w:val="multilevel"/>
    <w:tmpl w:val="AE5A4166"/>
    <w:lvl w:ilvl="0">
      <w:start w:val="1"/>
      <w:numFmt w:val="lowerRoman"/>
      <w:lvlText w:val="(%1)"/>
      <w:lvlJc w:val="right"/>
      <w:pPr>
        <w:ind w:left="1080" w:hanging="360"/>
      </w:pPr>
      <w:rPr>
        <w:rFonts w:asciiTheme="minorHAnsi" w:eastAsiaTheme="minorHAnsi" w:hAnsiTheme="minorHAnsi" w:cstheme="minorHAnsi"/>
      </w:rPr>
    </w:lvl>
    <w:lvl w:ilvl="1">
      <w:start w:val="1"/>
      <w:numFmt w:val="lowerRoman"/>
      <w:lvlText w:val="(%2)"/>
      <w:lvlJc w:val="right"/>
      <w:pPr>
        <w:ind w:left="1440" w:hanging="360"/>
      </w:pPr>
      <w:rPr>
        <w:rFonts w:asciiTheme="minorHAnsi" w:eastAsiaTheme="minorHAnsi" w:hAnsiTheme="minorHAnsi" w:cstheme="minorHAnsi"/>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2250" w:hanging="360"/>
      </w:pPr>
    </w:lvl>
    <w:lvl w:ilvl="8">
      <w:start w:val="1"/>
      <w:numFmt w:val="lowerRoman"/>
      <w:lvlText w:val="%9."/>
      <w:lvlJc w:val="left"/>
      <w:pPr>
        <w:ind w:left="3960" w:hanging="360"/>
      </w:pPr>
    </w:lvl>
  </w:abstractNum>
  <w:abstractNum w:abstractNumId="27" w15:restartNumberingAfterBreak="0">
    <w:nsid w:val="563D1D8D"/>
    <w:multiLevelType w:val="hybridMultilevel"/>
    <w:tmpl w:val="A27888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0" w15:restartNumberingAfterBreak="0">
    <w:nsid w:val="5B64FB04"/>
    <w:multiLevelType w:val="hybridMultilevel"/>
    <w:tmpl w:val="B30684C4"/>
    <w:lvl w:ilvl="0" w:tplc="B49447F6">
      <w:start w:val="1"/>
      <w:numFmt w:val="decimal"/>
      <w:lvlText w:val="%1."/>
      <w:lvlJc w:val="left"/>
      <w:pPr>
        <w:ind w:left="360" w:hanging="360"/>
      </w:pPr>
    </w:lvl>
    <w:lvl w:ilvl="1" w:tplc="306ADD02">
      <w:start w:val="1"/>
      <w:numFmt w:val="decimal"/>
      <w:lvlText w:val="%2."/>
      <w:lvlJc w:val="left"/>
      <w:pPr>
        <w:ind w:left="720" w:hanging="360"/>
      </w:pPr>
      <w:rPr>
        <w:rFonts w:ascii="Arial" w:hAnsi="Arial" w:hint="default"/>
      </w:rPr>
    </w:lvl>
    <w:lvl w:ilvl="2" w:tplc="2216EEE2">
      <w:start w:val="1"/>
      <w:numFmt w:val="lowerRoman"/>
      <w:lvlText w:val="%3."/>
      <w:lvlJc w:val="right"/>
      <w:pPr>
        <w:ind w:left="1800" w:hanging="180"/>
      </w:pPr>
    </w:lvl>
    <w:lvl w:ilvl="3" w:tplc="050E5FE6">
      <w:start w:val="1"/>
      <w:numFmt w:val="lowerLetter"/>
      <w:lvlText w:val="%4."/>
      <w:lvlJc w:val="left"/>
      <w:pPr>
        <w:ind w:left="990" w:hanging="360"/>
      </w:pPr>
    </w:lvl>
    <w:lvl w:ilvl="4" w:tplc="593A7284">
      <w:start w:val="1"/>
      <w:numFmt w:val="lowerLetter"/>
      <w:lvlText w:val="%5."/>
      <w:lvlJc w:val="left"/>
      <w:pPr>
        <w:ind w:left="3240" w:hanging="360"/>
      </w:pPr>
    </w:lvl>
    <w:lvl w:ilvl="5" w:tplc="8F4CB954">
      <w:start w:val="1"/>
      <w:numFmt w:val="lowerRoman"/>
      <w:lvlText w:val="%6."/>
      <w:lvlJc w:val="right"/>
      <w:pPr>
        <w:ind w:left="3960" w:hanging="180"/>
      </w:pPr>
    </w:lvl>
    <w:lvl w:ilvl="6" w:tplc="4952289C">
      <w:start w:val="1"/>
      <w:numFmt w:val="decimal"/>
      <w:lvlText w:val="%7."/>
      <w:lvlJc w:val="left"/>
      <w:pPr>
        <w:ind w:left="4680" w:hanging="360"/>
      </w:pPr>
    </w:lvl>
    <w:lvl w:ilvl="7" w:tplc="3B7C8DDE">
      <w:start w:val="1"/>
      <w:numFmt w:val="lowerLetter"/>
      <w:lvlText w:val="%8."/>
      <w:lvlJc w:val="left"/>
      <w:pPr>
        <w:ind w:left="5400" w:hanging="360"/>
      </w:pPr>
    </w:lvl>
    <w:lvl w:ilvl="8" w:tplc="0F8E3640">
      <w:start w:val="1"/>
      <w:numFmt w:val="lowerRoman"/>
      <w:lvlText w:val="%9."/>
      <w:lvlJc w:val="right"/>
      <w:pPr>
        <w:ind w:left="6120" w:hanging="180"/>
      </w:pPr>
    </w:lvl>
  </w:abstractNum>
  <w:abstractNum w:abstractNumId="31" w15:restartNumberingAfterBreak="0">
    <w:nsid w:val="5CF748EA"/>
    <w:multiLevelType w:val="hybridMultilevel"/>
    <w:tmpl w:val="C442BD70"/>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372C80"/>
    <w:multiLevelType w:val="multilevel"/>
    <w:tmpl w:val="E5E075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C436E7"/>
    <w:multiLevelType w:val="hybridMultilevel"/>
    <w:tmpl w:val="2F4E3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60A1F85"/>
    <w:multiLevelType w:val="hybridMultilevel"/>
    <w:tmpl w:val="A92ED4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8B4641"/>
    <w:multiLevelType w:val="hybridMultilevel"/>
    <w:tmpl w:val="41BEA8F6"/>
    <w:lvl w:ilvl="0" w:tplc="03DA2166">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CF6C08"/>
    <w:multiLevelType w:val="multilevel"/>
    <w:tmpl w:val="7E3E874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53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ADD36AD"/>
    <w:multiLevelType w:val="hybridMultilevel"/>
    <w:tmpl w:val="A63E1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247412">
    <w:abstractNumId w:val="12"/>
  </w:num>
  <w:num w:numId="2" w16cid:durableId="1647079291">
    <w:abstractNumId w:val="15"/>
  </w:num>
  <w:num w:numId="3" w16cid:durableId="754279829">
    <w:abstractNumId w:val="18"/>
  </w:num>
  <w:num w:numId="4" w16cid:durableId="1974361704">
    <w:abstractNumId w:val="32"/>
  </w:num>
  <w:num w:numId="5" w16cid:durableId="54664950">
    <w:abstractNumId w:val="13"/>
  </w:num>
  <w:num w:numId="6" w16cid:durableId="533005447">
    <w:abstractNumId w:val="28"/>
  </w:num>
  <w:num w:numId="7" w16cid:durableId="999499182">
    <w:abstractNumId w:val="34"/>
  </w:num>
  <w:num w:numId="8" w16cid:durableId="2037581708">
    <w:abstractNumId w:val="35"/>
  </w:num>
  <w:num w:numId="9" w16cid:durableId="1384252988">
    <w:abstractNumId w:val="29"/>
  </w:num>
  <w:num w:numId="10" w16cid:durableId="559024566">
    <w:abstractNumId w:val="9"/>
  </w:num>
  <w:num w:numId="11" w16cid:durableId="1018700670">
    <w:abstractNumId w:val="7"/>
  </w:num>
  <w:num w:numId="12" w16cid:durableId="1830049863">
    <w:abstractNumId w:val="6"/>
  </w:num>
  <w:num w:numId="13" w16cid:durableId="798570829">
    <w:abstractNumId w:val="5"/>
  </w:num>
  <w:num w:numId="14" w16cid:durableId="291130875">
    <w:abstractNumId w:val="4"/>
  </w:num>
  <w:num w:numId="15" w16cid:durableId="1807507589">
    <w:abstractNumId w:val="8"/>
  </w:num>
  <w:num w:numId="16" w16cid:durableId="1784156587">
    <w:abstractNumId w:val="3"/>
  </w:num>
  <w:num w:numId="17" w16cid:durableId="1224752065">
    <w:abstractNumId w:val="2"/>
  </w:num>
  <w:num w:numId="18" w16cid:durableId="1078289338">
    <w:abstractNumId w:val="1"/>
  </w:num>
  <w:num w:numId="19" w16cid:durableId="911282527">
    <w:abstractNumId w:val="0"/>
  </w:num>
  <w:num w:numId="20" w16cid:durableId="764106536">
    <w:abstractNumId w:val="20"/>
  </w:num>
  <w:num w:numId="21" w16cid:durableId="1964460344">
    <w:abstractNumId w:val="10"/>
  </w:num>
  <w:num w:numId="22" w16cid:durableId="1989704918">
    <w:abstractNumId w:val="14"/>
  </w:num>
  <w:num w:numId="23" w16cid:durableId="2121876648">
    <w:abstractNumId w:val="23"/>
  </w:num>
  <w:num w:numId="24" w16cid:durableId="2067796679">
    <w:abstractNumId w:val="36"/>
  </w:num>
  <w:num w:numId="25" w16cid:durableId="1418289346">
    <w:abstractNumId w:val="22"/>
  </w:num>
  <w:num w:numId="26" w16cid:durableId="1969890057">
    <w:abstractNumId w:val="38"/>
  </w:num>
  <w:num w:numId="27" w16cid:durableId="1931625257">
    <w:abstractNumId w:val="21"/>
  </w:num>
  <w:num w:numId="28" w16cid:durableId="1545560816">
    <w:abstractNumId w:val="27"/>
  </w:num>
  <w:num w:numId="29" w16cid:durableId="457838718">
    <w:abstractNumId w:val="24"/>
  </w:num>
  <w:num w:numId="30" w16cid:durableId="193273617">
    <w:abstractNumId w:val="17"/>
  </w:num>
  <w:num w:numId="31" w16cid:durableId="1918903299">
    <w:abstractNumId w:val="11"/>
  </w:num>
  <w:num w:numId="32" w16cid:durableId="1005983780">
    <w:abstractNumId w:val="30"/>
  </w:num>
  <w:num w:numId="33" w16cid:durableId="2000576011">
    <w:abstractNumId w:val="33"/>
  </w:num>
  <w:num w:numId="34" w16cid:durableId="1107694844">
    <w:abstractNumId w:val="39"/>
  </w:num>
  <w:num w:numId="35" w16cid:durableId="35325840">
    <w:abstractNumId w:val="26"/>
  </w:num>
  <w:num w:numId="36" w16cid:durableId="209464918">
    <w:abstractNumId w:val="31"/>
  </w:num>
  <w:num w:numId="37" w16cid:durableId="58866435">
    <w:abstractNumId w:val="25"/>
  </w:num>
  <w:num w:numId="38" w16cid:durableId="554855671">
    <w:abstractNumId w:val="19"/>
  </w:num>
  <w:num w:numId="39" w16cid:durableId="382950853">
    <w:abstractNumId w:val="16"/>
  </w:num>
  <w:num w:numId="40" w16cid:durableId="245002073">
    <w:abstractNumId w:val="37"/>
  </w:num>
  <w:num w:numId="41" w16cid:durableId="246303361">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9E73B7"/>
    <w:rsid w:val="000010E9"/>
    <w:rsid w:val="000067AC"/>
    <w:rsid w:val="00010133"/>
    <w:rsid w:val="000213D5"/>
    <w:rsid w:val="000226A7"/>
    <w:rsid w:val="00024539"/>
    <w:rsid w:val="00024DFE"/>
    <w:rsid w:val="00026B43"/>
    <w:rsid w:val="00026D48"/>
    <w:rsid w:val="00027D89"/>
    <w:rsid w:val="00031C81"/>
    <w:rsid w:val="00034984"/>
    <w:rsid w:val="00047C4F"/>
    <w:rsid w:val="00054E5F"/>
    <w:rsid w:val="00057F5E"/>
    <w:rsid w:val="00072DA3"/>
    <w:rsid w:val="00084D59"/>
    <w:rsid w:val="000A4772"/>
    <w:rsid w:val="000C377B"/>
    <w:rsid w:val="000C647F"/>
    <w:rsid w:val="000C75B9"/>
    <w:rsid w:val="000F5BD5"/>
    <w:rsid w:val="000F7018"/>
    <w:rsid w:val="001100A4"/>
    <w:rsid w:val="00110820"/>
    <w:rsid w:val="00122DF8"/>
    <w:rsid w:val="00133325"/>
    <w:rsid w:val="0013691B"/>
    <w:rsid w:val="00151409"/>
    <w:rsid w:val="001540E2"/>
    <w:rsid w:val="00171C99"/>
    <w:rsid w:val="00197AE7"/>
    <w:rsid w:val="001B4C20"/>
    <w:rsid w:val="001C3DD1"/>
    <w:rsid w:val="0020138F"/>
    <w:rsid w:val="002070AA"/>
    <w:rsid w:val="00234462"/>
    <w:rsid w:val="00235CA2"/>
    <w:rsid w:val="00236822"/>
    <w:rsid w:val="0024020E"/>
    <w:rsid w:val="0025351E"/>
    <w:rsid w:val="00254D2F"/>
    <w:rsid w:val="00266AEC"/>
    <w:rsid w:val="0027163F"/>
    <w:rsid w:val="0027457F"/>
    <w:rsid w:val="00276608"/>
    <w:rsid w:val="0028306D"/>
    <w:rsid w:val="00283BED"/>
    <w:rsid w:val="00284808"/>
    <w:rsid w:val="00286E46"/>
    <w:rsid w:val="002938CB"/>
    <w:rsid w:val="00294F2B"/>
    <w:rsid w:val="0029796C"/>
    <w:rsid w:val="002A4684"/>
    <w:rsid w:val="002A5B89"/>
    <w:rsid w:val="002A72DB"/>
    <w:rsid w:val="002A7635"/>
    <w:rsid w:val="002B07E9"/>
    <w:rsid w:val="002B0F35"/>
    <w:rsid w:val="002C35FE"/>
    <w:rsid w:val="002C3CEB"/>
    <w:rsid w:val="002D2993"/>
    <w:rsid w:val="002F2F7C"/>
    <w:rsid w:val="00314800"/>
    <w:rsid w:val="00331B24"/>
    <w:rsid w:val="00335220"/>
    <w:rsid w:val="00337AD3"/>
    <w:rsid w:val="00362590"/>
    <w:rsid w:val="00364326"/>
    <w:rsid w:val="0038486D"/>
    <w:rsid w:val="00394B98"/>
    <w:rsid w:val="003A0F8A"/>
    <w:rsid w:val="003A5EB1"/>
    <w:rsid w:val="003B09C8"/>
    <w:rsid w:val="003B77D4"/>
    <w:rsid w:val="003D70F4"/>
    <w:rsid w:val="003F11D5"/>
    <w:rsid w:val="003F167F"/>
    <w:rsid w:val="00401CED"/>
    <w:rsid w:val="00401ED6"/>
    <w:rsid w:val="00421004"/>
    <w:rsid w:val="00426FC0"/>
    <w:rsid w:val="004345DC"/>
    <w:rsid w:val="00437DC3"/>
    <w:rsid w:val="00441334"/>
    <w:rsid w:val="004431F4"/>
    <w:rsid w:val="004456B9"/>
    <w:rsid w:val="0044609B"/>
    <w:rsid w:val="00451CBE"/>
    <w:rsid w:val="004551D2"/>
    <w:rsid w:val="00464F55"/>
    <w:rsid w:val="00477290"/>
    <w:rsid w:val="004A3F6D"/>
    <w:rsid w:val="004B567E"/>
    <w:rsid w:val="004C6793"/>
    <w:rsid w:val="004D4827"/>
    <w:rsid w:val="004E70C4"/>
    <w:rsid w:val="005377EF"/>
    <w:rsid w:val="0053784E"/>
    <w:rsid w:val="00544F94"/>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D02D2"/>
    <w:rsid w:val="005E0753"/>
    <w:rsid w:val="005E0AB3"/>
    <w:rsid w:val="005F1396"/>
    <w:rsid w:val="005F6D34"/>
    <w:rsid w:val="00607164"/>
    <w:rsid w:val="00631314"/>
    <w:rsid w:val="0063467F"/>
    <w:rsid w:val="00644ADF"/>
    <w:rsid w:val="0064597B"/>
    <w:rsid w:val="00651E48"/>
    <w:rsid w:val="006533BD"/>
    <w:rsid w:val="00667DF0"/>
    <w:rsid w:val="00673D5D"/>
    <w:rsid w:val="00675C66"/>
    <w:rsid w:val="00681ABF"/>
    <w:rsid w:val="006A627F"/>
    <w:rsid w:val="006C1138"/>
    <w:rsid w:val="006C1655"/>
    <w:rsid w:val="006C36E6"/>
    <w:rsid w:val="006D3E37"/>
    <w:rsid w:val="006D61AC"/>
    <w:rsid w:val="006D65C9"/>
    <w:rsid w:val="006D7841"/>
    <w:rsid w:val="006D7EAB"/>
    <w:rsid w:val="006E0942"/>
    <w:rsid w:val="006E3D54"/>
    <w:rsid w:val="006E44DB"/>
    <w:rsid w:val="007029B9"/>
    <w:rsid w:val="007043C7"/>
    <w:rsid w:val="00710A12"/>
    <w:rsid w:val="00711BFA"/>
    <w:rsid w:val="00716FA2"/>
    <w:rsid w:val="00723FD2"/>
    <w:rsid w:val="00725C7A"/>
    <w:rsid w:val="007454A4"/>
    <w:rsid w:val="0075707F"/>
    <w:rsid w:val="00757930"/>
    <w:rsid w:val="00760AF4"/>
    <w:rsid w:val="00777F70"/>
    <w:rsid w:val="007972FB"/>
    <w:rsid w:val="007A450B"/>
    <w:rsid w:val="007A59CE"/>
    <w:rsid w:val="007A5D57"/>
    <w:rsid w:val="007C2970"/>
    <w:rsid w:val="007C2BBC"/>
    <w:rsid w:val="007E323F"/>
    <w:rsid w:val="007F0BD8"/>
    <w:rsid w:val="007F1274"/>
    <w:rsid w:val="007F6CC2"/>
    <w:rsid w:val="00805279"/>
    <w:rsid w:val="008129C4"/>
    <w:rsid w:val="0081704F"/>
    <w:rsid w:val="00822D0E"/>
    <w:rsid w:val="00823A34"/>
    <w:rsid w:val="008270AE"/>
    <w:rsid w:val="00835497"/>
    <w:rsid w:val="00842C7E"/>
    <w:rsid w:val="008514B0"/>
    <w:rsid w:val="00851B9B"/>
    <w:rsid w:val="00865D6D"/>
    <w:rsid w:val="008664A6"/>
    <w:rsid w:val="00866542"/>
    <w:rsid w:val="00885674"/>
    <w:rsid w:val="00887E2A"/>
    <w:rsid w:val="00892591"/>
    <w:rsid w:val="008B4CC6"/>
    <w:rsid w:val="008C0962"/>
    <w:rsid w:val="008D5732"/>
    <w:rsid w:val="008E37CF"/>
    <w:rsid w:val="009026A1"/>
    <w:rsid w:val="00906555"/>
    <w:rsid w:val="00910134"/>
    <w:rsid w:val="00910C10"/>
    <w:rsid w:val="00914CE1"/>
    <w:rsid w:val="009203E3"/>
    <w:rsid w:val="0093555B"/>
    <w:rsid w:val="00940386"/>
    <w:rsid w:val="009550FD"/>
    <w:rsid w:val="00955A75"/>
    <w:rsid w:val="00957A4D"/>
    <w:rsid w:val="00966A32"/>
    <w:rsid w:val="009710A7"/>
    <w:rsid w:val="00985B1B"/>
    <w:rsid w:val="0098682A"/>
    <w:rsid w:val="00997B89"/>
    <w:rsid w:val="009A28E5"/>
    <w:rsid w:val="009A38EF"/>
    <w:rsid w:val="009B5923"/>
    <w:rsid w:val="009C1CC3"/>
    <w:rsid w:val="009D1E7E"/>
    <w:rsid w:val="009E73B7"/>
    <w:rsid w:val="009F0C9D"/>
    <w:rsid w:val="009F1B70"/>
    <w:rsid w:val="009F1F7D"/>
    <w:rsid w:val="009F6A2F"/>
    <w:rsid w:val="00A10DAE"/>
    <w:rsid w:val="00A12678"/>
    <w:rsid w:val="00A130EE"/>
    <w:rsid w:val="00A137ED"/>
    <w:rsid w:val="00A13A2F"/>
    <w:rsid w:val="00A13C52"/>
    <w:rsid w:val="00A24EE3"/>
    <w:rsid w:val="00A33760"/>
    <w:rsid w:val="00A358D6"/>
    <w:rsid w:val="00A372CB"/>
    <w:rsid w:val="00A4115D"/>
    <w:rsid w:val="00A425D8"/>
    <w:rsid w:val="00A4492A"/>
    <w:rsid w:val="00A44996"/>
    <w:rsid w:val="00A47058"/>
    <w:rsid w:val="00A70C41"/>
    <w:rsid w:val="00A77789"/>
    <w:rsid w:val="00A77CCB"/>
    <w:rsid w:val="00A80BD5"/>
    <w:rsid w:val="00AA1E00"/>
    <w:rsid w:val="00AA6133"/>
    <w:rsid w:val="00AD7D8D"/>
    <w:rsid w:val="00AF2473"/>
    <w:rsid w:val="00B25E0F"/>
    <w:rsid w:val="00B266D3"/>
    <w:rsid w:val="00B27189"/>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B50"/>
    <w:rsid w:val="00BF6F01"/>
    <w:rsid w:val="00C16BFB"/>
    <w:rsid w:val="00C16F89"/>
    <w:rsid w:val="00C24EAA"/>
    <w:rsid w:val="00C25475"/>
    <w:rsid w:val="00C26026"/>
    <w:rsid w:val="00C334E8"/>
    <w:rsid w:val="00C42AE9"/>
    <w:rsid w:val="00C43326"/>
    <w:rsid w:val="00C47397"/>
    <w:rsid w:val="00C551FC"/>
    <w:rsid w:val="00C66623"/>
    <w:rsid w:val="00C73482"/>
    <w:rsid w:val="00CA1714"/>
    <w:rsid w:val="00CA5409"/>
    <w:rsid w:val="00CC5931"/>
    <w:rsid w:val="00CC6A77"/>
    <w:rsid w:val="00CE0CB8"/>
    <w:rsid w:val="00CE665B"/>
    <w:rsid w:val="00D02C53"/>
    <w:rsid w:val="00D06ADA"/>
    <w:rsid w:val="00D1315F"/>
    <w:rsid w:val="00D24284"/>
    <w:rsid w:val="00D30BFB"/>
    <w:rsid w:val="00D42C6A"/>
    <w:rsid w:val="00D45112"/>
    <w:rsid w:val="00D528E8"/>
    <w:rsid w:val="00D55974"/>
    <w:rsid w:val="00D642CC"/>
    <w:rsid w:val="00D65403"/>
    <w:rsid w:val="00D66BDA"/>
    <w:rsid w:val="00D7259D"/>
    <w:rsid w:val="00D840CF"/>
    <w:rsid w:val="00D8465B"/>
    <w:rsid w:val="00D96E24"/>
    <w:rsid w:val="00DB4265"/>
    <w:rsid w:val="00DC14E1"/>
    <w:rsid w:val="00DC74C5"/>
    <w:rsid w:val="00DD1D6F"/>
    <w:rsid w:val="00DD617D"/>
    <w:rsid w:val="00DE0B02"/>
    <w:rsid w:val="00DF075F"/>
    <w:rsid w:val="00E03C4E"/>
    <w:rsid w:val="00E15857"/>
    <w:rsid w:val="00E17D58"/>
    <w:rsid w:val="00E362B7"/>
    <w:rsid w:val="00E42F93"/>
    <w:rsid w:val="00E453E0"/>
    <w:rsid w:val="00E46296"/>
    <w:rsid w:val="00E71D84"/>
    <w:rsid w:val="00E77AF7"/>
    <w:rsid w:val="00E81AC0"/>
    <w:rsid w:val="00E9119A"/>
    <w:rsid w:val="00EA1162"/>
    <w:rsid w:val="00EA1625"/>
    <w:rsid w:val="00EA2920"/>
    <w:rsid w:val="00EA6E13"/>
    <w:rsid w:val="00EA7458"/>
    <w:rsid w:val="00EB51A7"/>
    <w:rsid w:val="00EE2E56"/>
    <w:rsid w:val="00EF2929"/>
    <w:rsid w:val="00F1127F"/>
    <w:rsid w:val="00F21DC8"/>
    <w:rsid w:val="00F253A4"/>
    <w:rsid w:val="00F34650"/>
    <w:rsid w:val="00F34F88"/>
    <w:rsid w:val="00F46906"/>
    <w:rsid w:val="00F527CC"/>
    <w:rsid w:val="00F602C6"/>
    <w:rsid w:val="00F63C52"/>
    <w:rsid w:val="00F6756A"/>
    <w:rsid w:val="00F90F48"/>
    <w:rsid w:val="00FA3D5E"/>
    <w:rsid w:val="00FA4331"/>
    <w:rsid w:val="00FA4EE9"/>
    <w:rsid w:val="00FB00EB"/>
    <w:rsid w:val="00FB2518"/>
    <w:rsid w:val="00FB4D40"/>
    <w:rsid w:val="00FD1D2C"/>
    <w:rsid w:val="00FD3B47"/>
    <w:rsid w:val="00FD4536"/>
    <w:rsid w:val="00FD7D0C"/>
    <w:rsid w:val="00FE3DA8"/>
    <w:rsid w:val="00FE62D5"/>
    <w:rsid w:val="00FF0B5E"/>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A70F1"/>
  <w15:chartTrackingRefBased/>
  <w15:docId w15:val="{7FFA6E74-BFE9-449D-B2DF-EE45791C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5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semiHidden/>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semiHidden/>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aliases w:val="Numbered list,Bullet Points,Colorful List - Accent 11,Dot pt,F5 List Paragraph,Indicator Text,L,List Paragraph Char Char Char,List Paragraph1,List Paragraph2,MAIN CONTENT,No Spacing1,Numbered Para 1,OBC Bullet,Párrafo de lista,Paragraph,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character" w:customStyle="1" w:styleId="ListParagraphChar">
    <w:name w:val="List Paragraph Char"/>
    <w:aliases w:val="Numbered list Char,Bullet Points Char,Colorful List - Accent 11 Char,Dot pt Char,F5 List Paragraph Char,Indicator Text Char,L Char,List Paragraph Char Char Char Char,List Paragraph1 Char,List Paragraph2 Char,MAIN CONTENT Char,H Char"/>
    <w:basedOn w:val="DefaultParagraphFont"/>
    <w:link w:val="ListParagraph"/>
    <w:uiPriority w:val="34"/>
    <w:qFormat/>
    <w:rsid w:val="006C36E6"/>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theglobalfund.org/media/13810/cr_budgeting-global-fund-grants_guidelines_en.pdf" TargetMode="External"/><Relationship Id="rId18" Type="http://schemas.openxmlformats.org/officeDocument/2006/relationships/hyperlink" Target="https://resources.theglobalfund.org/media/13989/cr_grant-budgeting-operational_guidance_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theglobalfund.org/media/13989/cr_grant-budgeting-operational_guidance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ources.theglobalfund.org/media/13989/cr_grant-budgeting-operational_guidance_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theglobalfund.org/media/6960/core_combatfraudcorruption_policy_en.pdf"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theglobalfund.org/media/13925/cr_grant_regulations_en.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ivanova\AppData\Local\Temp\Templafy\WordVsto\Standard%20logo%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ype":"pictureContentControl","id":"a04fae4c-0079-4c07-b58e-ae011da3df96","elementConfiguration":{"inheritDimensions":"{{InheritDimensions.InheritHeight}}","image":"{{Form.DocLang.Logo_stacked_colour.Image}}","removeAndKeepContent":false,"disableUpdates":false,"type":"image"}},{"type":"pictureContentControl","id":"8fdbaa76-593d-4759-8b7c-2f24c75c6488","elementConfiguration":{"inheritDimensions":"{{InheritDimensions.InheritHeight}}","image":"{{Form.DocLang.Logo_horizontal.Image}}","removeAndKeepContent":false,"disableUpdates":false,"type":"image"}},{"type":"pictureContentControl","id":"65a33565-c6dd-4660-a121-d9f1e7e26adc","elementConfiguration":{"inheritDimensions":"{{InheritDimensions.InheritHeight}}","image":"{{Form.DocLang.Logo_horizontal.Image}}","removeAndKeepContent":false,"disableUpdates":false,"type":"image"}}],"transformationConfigurations":[{"language":"{{Form.DocLang.Language.Language}}","disableUpdates":false,"type":"proofingLanguage"}],"templateName":"Standard logo template","templateDescription":"","enableDocumentContentUpdater":true,"version":"2.0"}]]></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distinct":true,"hideIfNoUserInteractionRequired":false,"required":true,"defaultValue":"{{UserProfile.Language.Name}}","autoSelectFirstOption":false,"helpTexts":{"prefix":"","postfix":""},"spacing":{},"shareValue":false,"type":"dropDown","dataSourceName":"Language","dataSourceFieldName":"Name","name":"DocLang","label":"Document Language"}],"formDataEntries":[{"name":"DocLang","value":"WkTS6mC53x5szA/EagX98vcQ4iGOuzWmGTQDOVE5Psk="}]}]]></TemplafyFormConfiguration>
</file>

<file path=customXml/itemProps1.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5.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6.xml><?xml version="1.0" encoding="utf-8"?>
<ds:datastoreItem xmlns:ds="http://schemas.openxmlformats.org/officeDocument/2006/customXml" ds:itemID="{AC9D8980-C987-48AF-BFD7-20D6444F7008}">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Standard logo template</Template>
  <TotalTime>13</TotalTime>
  <Pages>10</Pages>
  <Words>2767</Words>
  <Characters>15777</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2025-07-25T11:59:00Z</dcterms:created>
  <dcterms:modified xsi:type="dcterms:W3CDTF">2025-07-28T07:33:00Z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ContentTypeId">
    <vt:lpwstr>0x010100AE7BB0401969534BB561823CB4051602</vt:lpwstr>
  </property>
  <property fmtid="{D5CDD505-2E9C-101B-9397-08002B2CF9AE}" pid="4" name="TemplafyTenantId">
    <vt:lpwstr>theglobalfund</vt:lpwstr>
  </property>
  <property fmtid="{D5CDD505-2E9C-101B-9397-08002B2CF9AE}" pid="5" name="TemplafyTemplateId">
    <vt:lpwstr>747834895284043790</vt:lpwstr>
  </property>
  <property fmtid="{D5CDD505-2E9C-101B-9397-08002B2CF9AE}" pid="6" name="TemplafyUserProfileId">
    <vt:lpwstr>709319810680619008</vt:lpwstr>
  </property>
  <property fmtid="{D5CDD505-2E9C-101B-9397-08002B2CF9AE}" pid="7" name="TemplafyFromBlank">
    <vt:bool>false</vt:bool>
  </property>
</Properties>
</file>