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808080"/>
          <w:sz w:val="24"/>
          <w:szCs w:val="24"/>
        </w:rPr>
      </w:pPr>
      <w:r w:rsidDel="00000000" w:rsidR="00000000" w:rsidRPr="00000000">
        <w:rPr>
          <w:rtl w:val="0"/>
        </w:rPr>
      </w:r>
    </w:p>
    <w:p w:rsidR="00000000" w:rsidDel="00000000" w:rsidP="00000000" w:rsidRDefault="00000000" w:rsidRPr="00000000" w14:paraId="00000002">
      <w:pPr>
        <w:pStyle w:val="Title"/>
        <w:rPr>
          <w:sz w:val="50"/>
          <w:szCs w:val="50"/>
        </w:rPr>
      </w:pPr>
      <w:r w:rsidDel="00000000" w:rsidR="00000000" w:rsidRPr="00000000">
        <w:rPr>
          <w:sz w:val="50"/>
          <w:szCs w:val="50"/>
          <w:rtl w:val="0"/>
        </w:rPr>
        <w:t xml:space="preserve">Modelo de Procedimento Operacional Normalizado para Gestores de Estações de Oxigénio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6 de agosto de 2025</w:t>
      </w:r>
    </w:p>
    <w:p w:rsidR="00000000" w:rsidDel="00000000" w:rsidP="00000000" w:rsidRDefault="00000000" w:rsidRPr="00000000" w14:paraId="00000005">
      <w:pPr>
        <w:spacing w:after="0" w:line="240" w:lineRule="auto"/>
        <w:rPr>
          <w:sz w:val="22"/>
          <w:szCs w:val="22"/>
        </w:rPr>
      </w:pPr>
      <w:r w:rsidDel="00000000" w:rsidR="00000000" w:rsidRPr="00000000">
        <w:rPr>
          <w:i w:val="1"/>
          <w:sz w:val="22"/>
          <w:szCs w:val="22"/>
          <w:rtl w:val="0"/>
        </w:rPr>
        <w:t xml:space="preserve">Este documento foi produzido pela Build Health International (BHI) para o projeto BOXER do The Global Fund.</w:t>
      </w:r>
      <w:r w:rsidDel="00000000" w:rsidR="00000000" w:rsidRPr="00000000">
        <w:rPr>
          <w:rtl w:val="0"/>
        </w:rPr>
      </w:r>
    </w:p>
    <w:p w:rsidR="00000000" w:rsidDel="00000000" w:rsidP="00000000" w:rsidRDefault="00000000" w:rsidRPr="00000000" w14:paraId="00000006">
      <w:pPr>
        <w:pStyle w:val="Heading2"/>
        <w:rPr/>
      </w:pPr>
      <w:bookmarkStart w:colFirst="0" w:colLast="0" w:name="_heading=h.mj57wy2sxfhd" w:id="0"/>
      <w:bookmarkEnd w:id="0"/>
      <w:r w:rsidDel="00000000" w:rsidR="00000000" w:rsidRPr="00000000">
        <w:rPr>
          <w:rtl w:val="0"/>
        </w:rPr>
      </w:r>
    </w:p>
    <w:p w:rsidR="00000000" w:rsidDel="00000000" w:rsidP="00000000" w:rsidRDefault="00000000" w:rsidRPr="00000000" w14:paraId="00000007">
      <w:pPr>
        <w:pStyle w:val="Heading2"/>
        <w:rPr/>
      </w:pPr>
      <w:bookmarkStart w:colFirst="0" w:colLast="0" w:name="_heading=h.ewnyqkjvd51l" w:id="1"/>
      <w:bookmarkEnd w:id="1"/>
      <w:r w:rsidDel="00000000" w:rsidR="00000000" w:rsidRPr="00000000">
        <w:rPr>
          <w:rtl w:val="0"/>
        </w:rPr>
        <w:t xml:space="preserve">0. Instruções para Utilização do Modelo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Fonts w:ascii="Arial" w:cs="Arial" w:eastAsia="Arial" w:hAnsi="Arial"/>
          <w:b w:val="0"/>
          <w:i w:val="1"/>
          <w:smallCaps w:val="0"/>
          <w:strike w:val="0"/>
          <w:color w:val="666666"/>
          <w:sz w:val="22"/>
          <w:szCs w:val="22"/>
          <w:u w:val="none"/>
          <w:shd w:fill="auto" w:val="clear"/>
          <w:vertAlign w:val="baseline"/>
          <w:rtl w:val="0"/>
        </w:rPr>
        <w:t xml:space="preserve">Este Procedimento Operacional Normalizado (PON) destina-se a servir como modelo para a operação de sistemas de geração de oxigénio por Adsorção por Oscilação de Pressão (PSA – Pressure Swing Adsorption) e Adsorção por Oscilação de Pressão a Vácuo (VPSA – Vacuum Pressure Swing Adsorption), podendo ser adaptado a cada estação. Os procedimentos, parâmetros e recomendações aqui descritos podem não ser adequados para todos os modelos de estação ou contextos operacionais. Todos os utilizadores deste documento devem verificar a aplicabilidade e exatidão do conteúdo face às recomendações específicas do fabricante da estação e assegurar o cumprimento da regulamentação, das normas e dos códigos nacionais em vigor. As informações e os exemplos incluídos neste documento não substituem as instruções do fabricante nem os requisitos legais obrigatórios.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Fonts w:ascii="Arial" w:cs="Arial" w:eastAsia="Arial" w:hAnsi="Arial"/>
          <w:b w:val="0"/>
          <w:i w:val="1"/>
          <w:smallCaps w:val="0"/>
          <w:strike w:val="0"/>
          <w:color w:val="666666"/>
          <w:sz w:val="22"/>
          <w:szCs w:val="22"/>
          <w:u w:val="none"/>
          <w:shd w:fill="auto" w:val="clear"/>
          <w:vertAlign w:val="baseline"/>
          <w:rtl w:val="0"/>
        </w:rPr>
        <w:t xml:space="preserve">Este documento deve ser adaptado para utilização numa estação específica. Inclui secções e expressões que devem ser revistas e atualizadas para refletir o contexto aplicável a nível nacional, regional ou da própria estação. Tais secções estão normalmente </w:t>
      </w:r>
      <w:r w:rsidDel="00000000" w:rsidR="00000000" w:rsidRPr="00000000">
        <w:rPr>
          <w:rFonts w:ascii="Arial" w:cs="Arial" w:eastAsia="Arial" w:hAnsi="Arial"/>
          <w:b w:val="1"/>
          <w:i w:val="1"/>
          <w:smallCaps w:val="0"/>
          <w:strike w:val="0"/>
          <w:color w:val="666666"/>
          <w:sz w:val="22"/>
          <w:szCs w:val="22"/>
          <w:highlight w:val="yellow"/>
          <w:u w:val="none"/>
          <w:vertAlign w:val="baseline"/>
          <w:rtl w:val="0"/>
        </w:rPr>
        <w:t xml:space="preserve">destacadas a amarelo</w:t>
      </w:r>
      <w:r w:rsidDel="00000000" w:rsidR="00000000" w:rsidRPr="00000000">
        <w:rPr>
          <w:rFonts w:ascii="Arial" w:cs="Arial" w:eastAsia="Arial" w:hAnsi="Arial"/>
          <w:b w:val="0"/>
          <w:i w:val="0"/>
          <w:smallCaps w:val="0"/>
          <w:strike w:val="0"/>
          <w:color w:val="666666"/>
          <w:sz w:val="22"/>
          <w:szCs w:val="22"/>
          <w:u w:val="none"/>
          <w:shd w:fill="auto" w:val="clear"/>
          <w:vertAlign w:val="baseline"/>
          <w:rtl w:val="0"/>
        </w:rPr>
        <w:t xml:space="preserve">, para lembrar o utilizador de que a personalização é obrigatória. Uma vez inserida e verificada a exatidão da informação, o destaque amarelo deve ser removido.</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Fonts w:ascii="Arial" w:cs="Arial" w:eastAsia="Arial" w:hAnsi="Arial"/>
          <w:b w:val="0"/>
          <w:i w:val="1"/>
          <w:smallCaps w:val="0"/>
          <w:strike w:val="0"/>
          <w:color w:val="666666"/>
          <w:sz w:val="22"/>
          <w:szCs w:val="22"/>
          <w:u w:val="none"/>
          <w:shd w:fill="auto" w:val="clear"/>
          <w:vertAlign w:val="baseline"/>
          <w:rtl w:val="0"/>
        </w:rPr>
        <w:t xml:space="preserve">Além disso, o documento pode conter </w:t>
      </w:r>
      <w:r w:rsidDel="00000000" w:rsidR="00000000" w:rsidRPr="00000000">
        <w:rPr>
          <w:rFonts w:ascii="Arial" w:cs="Arial" w:eastAsia="Arial" w:hAnsi="Arial"/>
          <w:b w:val="1"/>
          <w:i w:val="1"/>
          <w:smallCaps w:val="0"/>
          <w:strike w:val="0"/>
          <w:color w:val="0000ff"/>
          <w:sz w:val="22"/>
          <w:szCs w:val="22"/>
          <w:u w:val="none"/>
          <w:shd w:fill="auto" w:val="clear"/>
          <w:vertAlign w:val="baseline"/>
          <w:rtl w:val="0"/>
        </w:rPr>
        <w:t xml:space="preserve">texto em itálico azul</w:t>
      </w:r>
      <w:r w:rsidDel="00000000" w:rsidR="00000000" w:rsidRPr="00000000">
        <w:rPr>
          <w:rFonts w:ascii="Arial" w:cs="Arial" w:eastAsia="Arial" w:hAnsi="Arial"/>
          <w:b w:val="0"/>
          <w:i w:val="1"/>
          <w:smallCaps w:val="0"/>
          <w:strike w:val="0"/>
          <w:color w:val="666666"/>
          <w:sz w:val="22"/>
          <w:szCs w:val="22"/>
          <w:u w:val="none"/>
          <w:shd w:fill="auto" w:val="clear"/>
          <w:vertAlign w:val="baseline"/>
          <w:rtl w:val="0"/>
        </w:rPr>
        <w:t xml:space="preserve">, que fornece instruções ou orientações adicionais para a adaptação do modelo. Este texto não deve fazer parte da versão final do PON e deve ser eliminado (bem como esta Secção 0), depois de o conteúdo relevante ter sido incorporado. É responsabilidade do utilizador assegurar que todas as modificações específicas do contexto são realizadas corretamente e que a versão final do PON reflete as recomendações atuais do fabricante, as normas nacionais aplicáveis e os protocolos da estação.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666666"/>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666666"/>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keepNext w:val="0"/>
        <w:keepLines w:val="0"/>
        <w:spacing w:after="0" w:before="0" w:lineRule="auto"/>
        <w:rPr/>
      </w:pPr>
      <w:bookmarkStart w:colFirst="0" w:colLast="0" w:name="_heading=h.brfmcc4rtzgg" w:id="2"/>
      <w:bookmarkEnd w:id="2"/>
      <w:r w:rsidDel="00000000" w:rsidR="00000000" w:rsidRPr="00000000">
        <w:rPr>
          <w:rtl w:val="0"/>
        </w:rPr>
        <w:t xml:space="preserve">Índice </w:t>
      </w:r>
    </w:p>
    <w:sdt>
      <w:sdtPr>
        <w:id w:val="2006936105"/>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j5uzws5lqz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Objetivo</w:t>
              <w:tab/>
              <w:t xml:space="preserve">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rw4il2mod28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Âmbito</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ea2nh45urpa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Plano Operacional da Estação</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lkbjws2cxoz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Responsabilidades</w:t>
              <w:tab/>
              <w:t xml:space="preserve">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9udcmokziw1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Recursos Humanos</w:t>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j50odvo9t2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Operadores da estação</w:t>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tbkw80kak0w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Responsável Biomédico / Engenheiro Supervisor</w:t>
              <w:tab/>
              <w:t xml:space="preserve">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mimdlvcbod5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Formação e reforço de competências</w:t>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tggrdw3kmcv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Comunicação e apoio administrativo</w:t>
              <w:tab/>
              <w:t xml:space="preserve">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1nv74b57pc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Orçamento</w:t>
              <w:tab/>
              <w:t xml:space="preserve">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4pmefxt7rv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Custos operacionais</w:t>
              <w:tab/>
              <w:t xml:space="preserve">6</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1yxp69nfi9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Processo de planeamento orçamental</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bx36onvqxrd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Precauções de Segurança</w:t>
              <w:tab/>
              <w:t xml:space="preserve">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o5cfjc69e43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Segurança contra incêndios</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snjcgheiubd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Equipamento de Proteção Individual (EPI)</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wgq5i7fnox6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Manutenção e Documentação</w:t>
              <w:tab/>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hgcutxisrg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Verificações diárias</w:t>
              <w:tab/>
              <w:t xml:space="preserve">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b3pvlo3mguq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Manutenção preventiva</w:t>
              <w:tab/>
              <w:t xml:space="preserve">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ow3420xj9wk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 Manutenção corretiva (reparações)</w:t>
              <w:tab/>
              <w:t xml:space="preserve">10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x5cxhnv4eh6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 Relatórios</w:t>
              <w:tab/>
              <w:t xml:space="preserve">10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m3zutvg0tpo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Garantia e Contrato de Manutenção</w:t>
              <w:tab/>
              <w:t xml:space="preserve">10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n3173af29ln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 Garantia</w:t>
              <w:tab/>
              <w:t xml:space="preserve">10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v3zdg4wkwy5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 Contrato de manutenção</w:t>
              <w:tab/>
              <w:t xml:space="preserve">11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jzt8bj33j8b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Cilindros de Oxigénio</w:t>
              <w:tab/>
              <w:t xml:space="preserve">12</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ca7pxfvgg5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 Manuseamento dos cilindros de oxigénio</w:t>
              <w:tab/>
              <w:t xml:space="preserve">12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o72xlfl9sd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 Armazenamento dos cilindros de oxigénio</w:t>
              <w:tab/>
              <w:t xml:space="preserve">12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ozdmbi1tjr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10.3 Transporte terrestre dos cilindros de oxigénio</w:t>
              <w:tab/>
              <w:t xml:space="preserve">13</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0a4mu2vwxz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10.4 Transporte dos cilindros de oxigénio em veículos</w:t>
              <w:tab/>
              <w:t xml:space="preserve">13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ciz1ql32k88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Ferramentas</w:t>
              <w:tab/>
              <w:t xml:space="preserve">13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t4xdtz290o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Peças Sobressalentes</w:t>
              <w:tab/>
              <w:t xml:space="preserve">14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pdzfwz4r9p2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Segurança da Estação</w:t>
              <w:tab/>
              <w:t xml:space="preserve">14</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syquvyc9nz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 Acesso restrito</w:t>
              <w:tab/>
              <w:t xml:space="preserve">14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84c3fhofhj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 Perímetro de segurança</w:t>
              <w:tab/>
              <w:t xml:space="preserve">14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6syzbw1z42x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 Requisitos Regulatórios</w:t>
              <w:tab/>
              <w:t xml:space="preserve">15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2oxs24ieap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 Ações de GQ de rotina</w:t>
              <w:tab/>
              <w:t xml:space="preserve">15</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hn9zjc3kj61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14.2 Documentação e registos</w:t>
              <w:tab/>
              <w:t xml:space="preserve">15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uob34m4tqpv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14.3 Revisão e supervisão</w:t>
              <w:tab/>
              <w:t xml:space="preserve">16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Style w:val="Heading2"/>
        <w:rPr/>
        <w:sectPr>
          <w:headerReference r:id="rId7" w:type="first"/>
          <w:footerReference r:id="rId8" w:type="default"/>
          <w:footerReference r:id="rId9" w:type="first"/>
          <w:pgSz w:h="16838" w:w="11906" w:orient="portrait"/>
          <w:pgMar w:bottom="431" w:top="720" w:left="720" w:right="720" w:header="431" w:footer="431"/>
          <w:pgNumType w:start="1"/>
          <w:titlePg w:val="1"/>
        </w:sectPr>
      </w:pPr>
      <w:bookmarkStart w:colFirst="0" w:colLast="0" w:name="_heading=h.fr26dwo6dg9i" w:id="3"/>
      <w:bookmarkEnd w:id="3"/>
      <w:r w:rsidDel="00000000" w:rsidR="00000000" w:rsidRPr="00000000">
        <w:rPr>
          <w:rtl w:val="0"/>
        </w:rPr>
      </w:r>
    </w:p>
    <w:p w:rsidR="00000000" w:rsidDel="00000000" w:rsidP="00000000" w:rsidRDefault="00000000" w:rsidRPr="00000000" w14:paraId="00000047">
      <w:pPr>
        <w:pStyle w:val="Heading2"/>
        <w:rPr/>
      </w:pPr>
      <w:bookmarkStart w:colFirst="0" w:colLast="0" w:name="_heading=h.j5uzws5lqz6" w:id="4"/>
      <w:bookmarkEnd w:id="4"/>
      <w:r w:rsidDel="00000000" w:rsidR="00000000" w:rsidRPr="00000000">
        <w:rPr>
          <w:rtl w:val="0"/>
        </w:rPr>
        <w:t xml:space="preserve">1. Objetivo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presente Procedimento Operacional Normalizado (PON) descreve os procedimentos para o funcionamento seguro, eficiente e contínuo de estações de oxigénio de Adsorção por Oscilação de Pressão (PSA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Pressure Swing Adsorption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Adsorção por Oscilação de Pressão a Vácuo (VPSA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Vacuum Pressure Swing Adsorption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Todas as atividades descritas abaixo têm como finalidade assegurar a produção e distribuição contínuas de oxigénio medicinal, com níveis de pureza de 93% ± 3% ou superiores, conforme exigido para utilização hospitalar.</w:t>
      </w:r>
      <w:r w:rsidDel="00000000" w:rsidR="00000000" w:rsidRPr="00000000">
        <w:rPr>
          <w:rtl w:val="0"/>
        </w:rPr>
      </w:r>
    </w:p>
    <w:p w:rsidR="00000000" w:rsidDel="00000000" w:rsidP="00000000" w:rsidRDefault="00000000" w:rsidRPr="00000000" w14:paraId="0000004A">
      <w:pPr>
        <w:pStyle w:val="Heading2"/>
        <w:rPr/>
      </w:pPr>
      <w:bookmarkStart w:colFirst="0" w:colLast="0" w:name="_heading=h.nto5gha1hpa" w:id="5"/>
      <w:bookmarkEnd w:id="5"/>
      <w:r w:rsidDel="00000000" w:rsidR="00000000" w:rsidRPr="00000000">
        <w:rPr>
          <w:rtl w:val="0"/>
        </w:rPr>
      </w:r>
    </w:p>
    <w:p w:rsidR="00000000" w:rsidDel="00000000" w:rsidP="00000000" w:rsidRDefault="00000000" w:rsidRPr="00000000" w14:paraId="0000004B">
      <w:pPr>
        <w:pStyle w:val="Heading2"/>
        <w:rPr/>
      </w:pPr>
      <w:bookmarkStart w:colFirst="0" w:colLast="0" w:name="_heading=h.rw4il2mod281" w:id="6"/>
      <w:bookmarkEnd w:id="6"/>
      <w:r w:rsidDel="00000000" w:rsidR="00000000" w:rsidRPr="00000000">
        <w:rPr>
          <w:rtl w:val="0"/>
        </w:rPr>
        <w:t xml:space="preserve">2. Âmbito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presente PON aplica-se aos gestores da estação e à administração da instalação. Inclui um plano de pessoal, detalhes orçamentais, planos de manutenção e reparação, informações sobre garantias e contratos de assistência, bem como práticas de documentação.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O âmbito deste documento não abrange o equipamento médico de uso clínico direto nem os acessórios (concentradores à cabeceira, ventiladores, cânulas nasais, etc.) que fazem parte do ecossistema de oxigénio. Um PON independente sobre gestão de equipamento médico e consumíveis deve ser elaborado pela autoridade competente.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rPr/>
      </w:pPr>
      <w:bookmarkStart w:colFirst="0" w:colLast="0" w:name="_heading=h.ea2nh45urpax" w:id="7"/>
      <w:bookmarkEnd w:id="7"/>
      <w:r w:rsidDel="00000000" w:rsidR="00000000" w:rsidRPr="00000000">
        <w:rPr>
          <w:rtl w:val="0"/>
        </w:rPr>
        <w:t xml:space="preserve">3. Plano Operacional da Estação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[Nome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[descrição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localizado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[localização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unidade dispõe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camas, distribuídas por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enfermarias. Anualmente, o hospital trata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pacientes internados 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pacientes em ambulatório.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fontes de oxigénio do hospital incluem: </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Tanque de Oxigénio Líquido (LOX) com capacidade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equivalente 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de oxigénio gasoso. O tanque LOX está ligado a um sistema de evaporação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que fornece oxigénio diretamente ao sistema de canalização de gases medicinais do hospital / que é posteriormente usado para o enchimento de cilindros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Estação de oxigénio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[PSA / VSA / VPSA]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[simples / dupla]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capacidade de produção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LPM). A estação está ligada diretamente a um Sistema de Canalização de Gases Medicinais (MGPS) e/ou a um compressor auxiliar de enchimento de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 que enche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a cada 24 horas.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concentradores de oxigénio com capacidade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LPM, utilizados nas enfermarias para tratamento de doentes com baixo fluxo.</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cilindros de oxigénio,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MGPS do hospital está ligado 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fonte de oxigénio]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como principal fonte de oxigénio e 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fonte de oxigénio]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como fonte secundária de oxigénio. A estação de oxigénio está projetada para funcionar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[número de horas]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dia,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[número de dias]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semana.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Durante este período, o hospital prevê encher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[número e tamanho de cilindros]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dos quais serão consumidos no local, 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dos quais serão distribuídos a unidades periféricas. Estes cilindros serão distribuídos por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[cargo do responsável]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serão entregues no seguinte calendário: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calendário com data e horário de entrega dos cilindros]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spacing w:after="0" w:line="240" w:lineRule="auto"/>
        <w:rPr>
          <w:sz w:val="22"/>
          <w:szCs w:val="22"/>
        </w:rPr>
      </w:pPr>
      <w:r w:rsidDel="00000000" w:rsidR="00000000" w:rsidRPr="00000000">
        <w:rPr>
          <w:sz w:val="22"/>
          <w:szCs w:val="22"/>
          <w:rtl w:val="0"/>
        </w:rPr>
        <w:t xml:space="preserve">As unidades periféricas apoiadas incluem: </w:t>
      </w:r>
    </w:p>
    <w:p w:rsidR="00000000" w:rsidDel="00000000" w:rsidP="00000000" w:rsidRDefault="00000000" w:rsidRPr="00000000" w14:paraId="00000060">
      <w:pPr>
        <w:numPr>
          <w:ilvl w:val="0"/>
          <w:numId w:val="11"/>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1">
      <w:pPr>
        <w:numPr>
          <w:ilvl w:val="0"/>
          <w:numId w:val="11"/>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2">
      <w:pPr>
        <w:numPr>
          <w:ilvl w:val="0"/>
          <w:numId w:val="11"/>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nome da unidade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[nome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dispõe dos seguintes distribuidores de cilindros: </w:t>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Distribuidor de enchimento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tamanho]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base na taxa de enchimento do compressor auxiliar, os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têm de ser substituídos a cada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horas.</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Distribuidor de reserva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tamanho]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base na procura do sistema de canalização, os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têm de ser substituídos a cada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horas quando o distribuidor de reserva estiver em uso.</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Distribuidor de fornecimento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tamanho]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base na procura do sistema de canalização, os cilindros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litros têm de ser substituídos a cada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horas.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de canalização alimenta um total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pontos de saída à cabeceira, conforme apresentado na tabela abaixo: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3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4"/>
        <w:gridCol w:w="1701"/>
        <w:gridCol w:w="2126"/>
        <w:tblGridChange w:id="0">
          <w:tblGrid>
            <w:gridCol w:w="3534"/>
            <w:gridCol w:w="1701"/>
            <w:gridCol w:w="212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Tipo de enfermaria</w:t>
            </w:r>
          </w:p>
        </w:tc>
        <w:tc>
          <w:tcPr>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N.º de camas</w:t>
            </w:r>
          </w:p>
        </w:tc>
        <w:tc>
          <w:tcPr>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Número de saídas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PLANTA DO HOSPITAL E/OU DIAGRAMA DE CANALIZAÇÃO AQUI]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estação de oxigénio está localizada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[edifício próprio / contentor / sala dentro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sua principal fonte de energia é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[rede elétrica / energia solar / gerador 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diesel</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sua fonte de energia de reserva é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[rede elétrica / energia solar / gerador 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diesel</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estação é arrefecida através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[ar condicionado / ventiladores de extração / ventilação natural]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É fundamental desenvolver um plano operacional que inclua os detalhes acima identificados. Orientações adicionais sobre como definir o horário de funcionamento, os tempos de substituição dos distribuidores de cilindros, e o plano de manuseamento dos cilindros</w:t>
      </w:r>
      <w:hyperlink r:id="rId10">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 podem ser encontradas aqui</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pStyle w:val="Heading2"/>
        <w:rPr/>
      </w:pPr>
      <w:bookmarkStart w:colFirst="0" w:colLast="0" w:name="_heading=h.ijlhtkumw035" w:id="8"/>
      <w:bookmarkEnd w:id="8"/>
      <w:r w:rsidDel="00000000" w:rsidR="00000000" w:rsidRPr="00000000">
        <w:rPr>
          <w:rtl w:val="0"/>
        </w:rPr>
      </w:r>
    </w:p>
    <w:p w:rsidR="00000000" w:rsidDel="00000000" w:rsidP="00000000" w:rsidRDefault="00000000" w:rsidRPr="00000000" w14:paraId="00000087">
      <w:pPr>
        <w:pStyle w:val="Heading2"/>
        <w:rPr/>
      </w:pPr>
      <w:bookmarkStart w:colFirst="0" w:colLast="0" w:name="_heading=h.lkbjws2cxozv" w:id="9"/>
      <w:bookmarkEnd w:id="9"/>
      <w:r w:rsidDel="00000000" w:rsidR="00000000" w:rsidRPr="00000000">
        <w:rPr>
          <w:rtl w:val="0"/>
        </w:rPr>
        <w:t xml:space="preserve">4. Responsabilidades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f4cccc"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funcionamento eficaz de uma estação de oxigénio exige coordenação entre vários profissionais, cada um com responsabilidades distintas para garantir segurança, fiabilidade e conformidade. Embora o número de funcionários possa variar consoante a dimensão da unidade e o contexto, os cargos costumam incluir: operadores da estação, supervisores ou gestores da estação, técnicos biomédicos ou responsáveis técnicos, prestadores de serviços externos e entidades reguladoras. As funções e responsabilidades de gestão e operação da estação no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[nome do hospital]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estão divididas da seguinte forma: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Operadores da estação: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Monitorizar os parâmetros do sistema </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Preencher as listas de verificação diárias</w:t>
      </w:r>
    </w:p>
    <w:p w:rsidR="00000000" w:rsidDel="00000000" w:rsidP="00000000" w:rsidRDefault="00000000" w:rsidRPr="00000000" w14:paraId="000000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as inspeções diárias de segurança</w:t>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Reportar problemas à gestão </w:t>
      </w:r>
    </w:p>
    <w:p w:rsidR="00000000" w:rsidDel="00000000" w:rsidP="00000000" w:rsidRDefault="00000000" w:rsidRPr="00000000" w14:paraId="000000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quando é necessária manutenção </w:t>
      </w:r>
    </w:p>
    <w:p w:rsidR="00000000" w:rsidDel="00000000" w:rsidP="00000000" w:rsidRDefault="00000000" w:rsidRPr="00000000" w14:paraId="000000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Assegurar que os procedimentos de arranque e desligamento são seguidos</w:t>
      </w:r>
    </w:p>
    <w:p w:rsidR="00000000" w:rsidDel="00000000" w:rsidP="00000000" w:rsidRDefault="00000000" w:rsidRPr="00000000" w14:paraId="000000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Monitorizar os distribuidores de fornecimento e substituir cilindros vazios, se necessário</w:t>
      </w:r>
    </w:p>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Encher cilindros e gerir o inventário de cilindros cheios e vazios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Engenheiros/Técnicos biomédicos:</w:t>
      </w:r>
    </w:p>
    <w:p w:rsidR="00000000" w:rsidDel="00000000" w:rsidP="00000000" w:rsidRDefault="00000000" w:rsidRPr="00000000" w14:paraId="000000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manutenção programada ou, caso exista um Contrato de Manutenção, acompanhar os trabalhos e confirmar a sua conclusão </w:t>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Agendar a manutenção preventiva com o fornecedor OU realizar a manutenção preventiva </w:t>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Diagnosticar avarias e substituir componentes defeituosos </w:t>
      </w:r>
    </w:p>
    <w:p w:rsidR="00000000" w:rsidDel="00000000" w:rsidP="00000000" w:rsidRDefault="00000000" w:rsidRPr="00000000" w14:paraId="000000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Fazer o inventário regular das ferramentas </w:t>
      </w:r>
    </w:p>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Rever as listas de verificação diárias para identificar problemas e manter os registos de manutenção atualizados </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regularmente o equipamento de segurança contra incêndios e atualizar o plano sempre que necessário </w:t>
      </w:r>
    </w:p>
    <w:p w:rsidR="00000000" w:rsidDel="00000000" w:rsidP="00000000" w:rsidRDefault="00000000" w:rsidRPr="00000000" w14:paraId="000000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Supervisionar os operadores da estação</w:t>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Gerir os contratos de manutenção e articular com os fornecedores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Supervisores: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o cumprimento do PON </w:t>
      </w:r>
    </w:p>
    <w:p w:rsidR="00000000" w:rsidDel="00000000" w:rsidP="00000000" w:rsidRDefault="00000000" w:rsidRPr="00000000" w14:paraId="000000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Coordenar os calendários de manutenção </w:t>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Ministrar formação aos operadores da estação </w:t>
      </w:r>
    </w:p>
    <w:p w:rsidR="00000000" w:rsidDel="00000000" w:rsidP="00000000" w:rsidRDefault="00000000" w:rsidRPr="00000000" w14:paraId="000000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Auditar os registos de manutenção para confirmar a sua execução </w:t>
      </w:r>
    </w:p>
    <w:p w:rsidR="00000000" w:rsidDel="00000000" w:rsidP="00000000" w:rsidRDefault="00000000" w:rsidRPr="00000000" w14:paraId="000000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o cumprimento dos requisitos regulamentares </w:t>
      </w:r>
    </w:p>
    <w:p w:rsidR="00000000" w:rsidDel="00000000" w:rsidP="00000000" w:rsidRDefault="00000000" w:rsidRPr="00000000" w14:paraId="000000A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o orçamento dos custos operacionais </w:t>
      </w:r>
    </w:p>
    <w:p w:rsidR="00000000" w:rsidDel="00000000" w:rsidP="00000000" w:rsidRDefault="00000000" w:rsidRPr="00000000" w14:paraId="000000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Assegurar que a estação tem pessoal em número adequado</w:t>
      </w:r>
    </w:p>
    <w:p w:rsidR="00000000" w:rsidDel="00000000" w:rsidP="00000000" w:rsidRDefault="00000000" w:rsidRPr="00000000" w14:paraId="000000A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Encomendar peças sobressalentes </w:t>
      </w:r>
    </w:p>
    <w:p w:rsidR="00000000" w:rsidDel="00000000" w:rsidP="00000000" w:rsidRDefault="00000000" w:rsidRPr="00000000" w14:paraId="000000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Adquirir as ferramentas e o Equipamento de Proteção Individual (EPI) adequados </w:t>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Atualizar regularmente a lista de segurança do pessoal autorizado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A divisão de cargos e responsabilidades descrita nesta secção destina-se a servir de exemplo geral. Cada hospital ou unidade deve rever e adaptar estas funções de acordo com a sua estrutura organizacional específica, normas de pessoal e protocolos operacionais. Funções adicionais não listadas aqui – como gestores de inventário, farmacêuticos ou outros profissionais técnicos e administrativos – podem ter responsabilidades relacionadas com a operação, manutenção ou gestão da cadeia de fornecimento da estação de oxigénio. É responsabilidade de cada unidade definir, atribuir e documentar claramente todas as funções relevantes, de modo a garantir uma operação segura e eficiente da estação.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2"/>
        <w:rPr>
          <w:rFonts w:ascii="Arial" w:cs="Arial" w:eastAsia="Arial" w:hAnsi="Arial"/>
          <w:b w:val="1"/>
          <w:sz w:val="22"/>
          <w:szCs w:val="22"/>
        </w:rPr>
      </w:pPr>
      <w:bookmarkStart w:colFirst="0" w:colLast="0" w:name="_heading=h.9udcmokziw1z" w:id="10"/>
      <w:bookmarkEnd w:id="10"/>
      <w:r w:rsidDel="00000000" w:rsidR="00000000" w:rsidRPr="00000000">
        <w:rPr>
          <w:rtl w:val="0"/>
        </w:rPr>
        <w:t xml:space="preserve">5. Recursos Humanos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3"/>
        <w:rPr/>
      </w:pPr>
      <w:bookmarkStart w:colFirst="0" w:colLast="0" w:name="_heading=h.2j50odvo9t2i" w:id="11"/>
      <w:bookmarkEnd w:id="11"/>
      <w:r w:rsidDel="00000000" w:rsidR="00000000" w:rsidRPr="00000000">
        <w:rPr>
          <w:rtl w:val="0"/>
        </w:rPr>
        <w:t xml:space="preserve">5.1 Operadores da estação</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garantir uma operação segura e fiável:</w:t>
      </w:r>
    </w:p>
    <w:p w:rsidR="00000000" w:rsidDel="00000000" w:rsidP="00000000" w:rsidRDefault="00000000" w:rsidRPr="00000000" w14:paraId="000000B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cada turno, devem estar presentes, pelo menos,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operadores.</w:t>
      </w:r>
    </w:p>
    <w:p w:rsidR="00000000" w:rsidDel="00000000" w:rsidP="00000000" w:rsidRDefault="00000000" w:rsidRPr="00000000" w14:paraId="000000B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total, devem ser contratados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operadores para cobrir o horário de funcionamento da estação, incluindo dias de descanso e ausências por licença.</w:t>
      </w:r>
    </w:p>
    <w:p w:rsidR="00000000" w:rsidDel="00000000" w:rsidP="00000000" w:rsidRDefault="00000000" w:rsidRPr="00000000" w14:paraId="000000B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turnos estão estruturados da seguinte forma: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 de turnos por dia, duração de cada turno, sobreposições caso existam; incluir também eventuais técnicos de reserva em regime de prevenção]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operadores da estação devem ser escalados de acordo com o plano operacional da estação: caso o plano operacional seja alterado, o número de operadores deve ser ajustado para garantir cobertura a tempo inteiro.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Qualificações mínimas:</w:t>
      </w:r>
    </w:p>
    <w:p w:rsidR="00000000" w:rsidDel="00000000" w:rsidP="00000000" w:rsidRDefault="00000000" w:rsidRPr="00000000" w14:paraId="000000B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anos de experiência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[eletricidade, mecânica, engenharia biomédica ou manutenção hospitalar]</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Conhecimentos de sistemas pneumáticos e mecânicos </w:t>
      </w:r>
    </w:p>
    <w:p w:rsidR="00000000" w:rsidDel="00000000" w:rsidP="00000000" w:rsidRDefault="00000000" w:rsidRPr="00000000" w14:paraId="000000B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Capacidade física para manusear cilindros de oxigénio e ferramentas</w:t>
      </w:r>
    </w:p>
    <w:p w:rsidR="00000000" w:rsidDel="00000000" w:rsidP="00000000" w:rsidRDefault="00000000" w:rsidRPr="00000000" w14:paraId="000000B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Boas competências de comunicação e disponibilidade para aprender</w:t>
        <w:br w:type="textWrapping"/>
      </w:r>
    </w:p>
    <w:p w:rsidR="00000000" w:rsidDel="00000000" w:rsidP="00000000" w:rsidRDefault="00000000" w:rsidRPr="00000000" w14:paraId="000000BD">
      <w:pPr>
        <w:pStyle w:val="Heading3"/>
        <w:rPr/>
      </w:pPr>
      <w:r w:rsidDel="00000000" w:rsidR="00000000" w:rsidRPr="00000000">
        <w:rPr>
          <w:rtl w:val="0"/>
        </w:rPr>
      </w:r>
    </w:p>
    <w:p w:rsidR="00000000" w:rsidDel="00000000" w:rsidP="00000000" w:rsidRDefault="00000000" w:rsidRPr="00000000" w14:paraId="000000BE">
      <w:pPr>
        <w:pStyle w:val="Heading3"/>
        <w:rPr/>
      </w:pPr>
      <w:r w:rsidDel="00000000" w:rsidR="00000000" w:rsidRPr="00000000">
        <w:rPr>
          <w:rtl w:val="0"/>
        </w:rPr>
      </w:r>
    </w:p>
    <w:p w:rsidR="00000000" w:rsidDel="00000000" w:rsidP="00000000" w:rsidRDefault="00000000" w:rsidRPr="00000000" w14:paraId="000000BF">
      <w:pPr>
        <w:pStyle w:val="Heading3"/>
        <w:rPr/>
      </w:pPr>
      <w:r w:rsidDel="00000000" w:rsidR="00000000" w:rsidRPr="00000000">
        <w:rPr>
          <w:rtl w:val="0"/>
        </w:rPr>
      </w:r>
    </w:p>
    <w:p w:rsidR="00000000" w:rsidDel="00000000" w:rsidP="00000000" w:rsidRDefault="00000000" w:rsidRPr="00000000" w14:paraId="000000C0">
      <w:pPr>
        <w:pStyle w:val="Heading3"/>
        <w:rPr/>
      </w:pPr>
      <w:bookmarkStart w:colFirst="0" w:colLast="0" w:name="_heading=h.tbkw80kak0wj" w:id="12"/>
      <w:bookmarkEnd w:id="12"/>
      <w:r w:rsidDel="00000000" w:rsidR="00000000" w:rsidRPr="00000000">
        <w:rPr>
          <w:rtl w:val="0"/>
        </w:rPr>
        <w:t xml:space="preserve">5.2 Responsável Biomédico / Engenheiro Supervisor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garantir uma operação segura e fiável:</w:t>
      </w:r>
    </w:p>
    <w:p w:rsidR="00000000" w:rsidDel="00000000" w:rsidP="00000000" w:rsidRDefault="00000000" w:rsidRPr="00000000" w14:paraId="000000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Devem estar presentes pelo menos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engenheiros supervisores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tipos de turnos]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total, devem ser contratados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engenheiros supervisores para cobrir o horário de funcionamento da estação, incluindo dias de descanso e ausências por licença.</w:t>
      </w:r>
    </w:p>
    <w:p w:rsidR="00000000" w:rsidDel="00000000" w:rsidP="00000000" w:rsidRDefault="00000000" w:rsidRPr="00000000" w14:paraId="000000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turnos estão estruturados da seguinte forma: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número de turnos por dia, duração de cada turno, sobreposições caso existam]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Qualificações mínimas: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Licenciatura em engenharia biomédica, mecânica ou eletrotécnica </w:t>
      </w:r>
    </w:p>
    <w:p w:rsidR="00000000" w:rsidDel="00000000" w:rsidP="00000000" w:rsidRDefault="00000000" w:rsidRPr="00000000" w14:paraId="000000C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anos de experiência em estações de oxigénio ou sistemas semelhantes </w:t>
      </w:r>
    </w:p>
    <w:p w:rsidR="00000000" w:rsidDel="00000000" w:rsidP="00000000" w:rsidRDefault="00000000" w:rsidRPr="00000000" w14:paraId="000000C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Conhecimentos intermédios de manutenção de estações (ex.: troca de óleo e filtros)</w:t>
      </w:r>
    </w:p>
    <w:p w:rsidR="00000000" w:rsidDel="00000000" w:rsidP="00000000" w:rsidRDefault="00000000" w:rsidRPr="00000000" w14:paraId="000000C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Capacidade para reparar sistemas elétricos (preferencial)</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3"/>
        <w:rPr/>
      </w:pPr>
      <w:bookmarkStart w:colFirst="0" w:colLast="0" w:name="_heading=h.mimdlvcbod5f" w:id="13"/>
      <w:bookmarkEnd w:id="13"/>
      <w:r w:rsidDel="00000000" w:rsidR="00000000" w:rsidRPr="00000000">
        <w:rPr>
          <w:color w:val="000000"/>
          <w:rtl w:val="0"/>
        </w:rPr>
        <w:t xml:space="preserve">5.3 </w:t>
      </w:r>
      <w:r w:rsidDel="00000000" w:rsidR="00000000" w:rsidRPr="00000000">
        <w:rPr>
          <w:rtl w:val="0"/>
        </w:rPr>
        <w:t xml:space="preserve">Formação e reforço de competências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fundamental investir na formação da equipa da estação para garantir a sustentabilidade a longo prazo e minimizar tempos de inatividade resultantes da operação inadequada. As seguintes formações devem ser realizadas para novos funcionários e repetidas conforme necessário:</w:t>
      </w:r>
    </w:p>
    <w:p w:rsidR="00000000" w:rsidDel="00000000" w:rsidP="00000000" w:rsidRDefault="00000000" w:rsidRPr="00000000" w14:paraId="000000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Formação para os operadores da estação de oxigénio: Instrução prática e teórica sobre operação diária e resolução de problemas</w:t>
      </w:r>
    </w:p>
    <w:p w:rsidR="00000000" w:rsidDel="00000000" w:rsidP="00000000" w:rsidRDefault="00000000" w:rsidRPr="00000000" w14:paraId="000000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Orientações para a gestão: Introdução aos conceitos básicos da estação de oxigénio para gestores hospitalares</w:t>
      </w:r>
    </w:p>
    <w:p w:rsidR="00000000" w:rsidDel="00000000" w:rsidP="00000000" w:rsidRDefault="00000000" w:rsidRPr="00000000" w14:paraId="000000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Formação de atualização: Repetida a cada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 (ex.: 12 meses ou 6 meses)]</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Formação Pós-Contrato de Manutenção: Realizada quando caducam os contratos de manutenção com fornecedores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Para estações de oxigénio com garantia ativa, apenas operadores formados pelos fabricantes podem estar autorizados a operar a estação. Caso esta situação se aplique, deve ser tomada especial atenção em contextos de elevada rotatividade de pessoal.</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3"/>
        <w:rPr/>
      </w:pPr>
      <w:bookmarkStart w:colFirst="0" w:colLast="0" w:name="_heading=h.tggrdw3kmcv7" w:id="14"/>
      <w:bookmarkEnd w:id="14"/>
      <w:r w:rsidDel="00000000" w:rsidR="00000000" w:rsidRPr="00000000">
        <w:rPr>
          <w:color w:val="000000"/>
          <w:rtl w:val="0"/>
        </w:rPr>
        <w:t xml:space="preserve">5.4 </w:t>
      </w:r>
      <w:r w:rsidDel="00000000" w:rsidR="00000000" w:rsidRPr="00000000">
        <w:rPr>
          <w:rtl w:val="0"/>
        </w:rPr>
        <w:t xml:space="preserve">Comunicação e apoio administrativo</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trabalhar de forma eficaz, a equipa da estação de oxigénio deve dispor de:</w:t>
      </w:r>
    </w:p>
    <w:p w:rsidR="00000000" w:rsidDel="00000000" w:rsidP="00000000" w:rsidRDefault="00000000" w:rsidRPr="00000000" w14:paraId="000000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Uma linha clara de comunicação com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cargo (ex.: Supervisor de Manutenção Hospitalar / Gestor Biomédico)]</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Acesso direto à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administração hospitalar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pedidos de financiamento de manutenção</w:t>
      </w:r>
    </w:p>
    <w:p w:rsidR="00000000" w:rsidDel="00000000" w:rsidP="00000000" w:rsidRDefault="00000000" w:rsidRPr="00000000" w14:paraId="000000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Reuniões de revisão, periódicas, agendadas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 (ex.: mensalmente)]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entre a equipa da estação e a administração</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O número de funcionários, a estrutura de turnos, a periodicidade da formação e a atribuição de funções descritos nesta secção devem ser definidos com base no plano operacional específico desta estação de oxigénio. Estes detalhes devem ter em conta o tipo de estação, o número de horas de funcionamento previstas, o método de fornecimento de oxigénio (canalização, enchimento de cilindros, ou ambos), a dimensão da estação e a frequência de substituição dos cilindros. Para mais orientações sobre como desenvolver este plano de pessoal, consulte este </w:t>
      </w:r>
      <w:hyperlink r:id="rId11">
        <w:r w:rsidDel="00000000" w:rsidR="00000000" w:rsidRPr="00000000">
          <w:rPr>
            <w:rFonts w:ascii="Arial" w:cs="Arial" w:eastAsia="Arial" w:hAnsi="Arial"/>
            <w:b w:val="1"/>
            <w:i w:val="1"/>
            <w:smallCaps w:val="0"/>
            <w:strike w:val="0"/>
            <w:color w:val="1155cc"/>
            <w:sz w:val="22"/>
            <w:szCs w:val="22"/>
            <w:u w:val="single"/>
            <w:shd w:fill="auto" w:val="clear"/>
            <w:vertAlign w:val="baseline"/>
            <w:rtl w:val="0"/>
          </w:rPr>
          <w:t xml:space="preserve">documento orientador sobre o pessoal da estação</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rPr/>
      </w:pPr>
      <w:bookmarkStart w:colFirst="0" w:colLast="0" w:name="_heading=h.41nv74b57pce" w:id="15"/>
      <w:bookmarkEnd w:id="15"/>
      <w:r w:rsidDel="00000000" w:rsidR="00000000" w:rsidRPr="00000000">
        <w:rPr>
          <w:rtl w:val="0"/>
        </w:rPr>
        <w:t xml:space="preserve">6. Orçamento</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secção orienta os gestores na preparação, alocação e gestão do orçamento operacional recorrente da estação de oxigénio. Estão excluídas as despesas de capital (como a aquisição de equipamentos e a preparação do local). O objetivo é garantir o funcionamento contínuo e seguro da estação através de um financiamento adequado e previsível de todos os custos operacionais. As subseções seguintes detalham os itens que devem ser orçamentados. Um orçamento detalhado pode ser consultado no </w:t>
      </w:r>
      <w:hyperlink w:anchor="_heading=h.v49hzitmqne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Um modelo de orçamento pode ser encontrado </w:t>
      </w:r>
      <w:hyperlink r:id="rId12">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neste documento orientador</w:t>
        </w:r>
      </w:hyperlink>
      <w:hyperlink r:id="rId13">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E4">
      <w:pPr>
        <w:pStyle w:val="Heading3"/>
        <w:rPr/>
      </w:pPr>
      <w:bookmarkStart w:colFirst="0" w:colLast="0" w:name="_heading=h.14pmefxt7rv9" w:id="16"/>
      <w:bookmarkEnd w:id="16"/>
      <w:r w:rsidDel="00000000" w:rsidR="00000000" w:rsidRPr="00000000">
        <w:rPr>
          <w:rtl w:val="0"/>
        </w:rPr>
        <w:t xml:space="preserve">6.1 Custos operacionais </w:t>
      </w:r>
    </w:p>
    <w:p w:rsidR="00000000" w:rsidDel="00000000" w:rsidP="00000000" w:rsidRDefault="00000000" w:rsidRPr="00000000" w14:paraId="000000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com recursos humanos</w:t>
      </w:r>
    </w:p>
    <w:p w:rsidR="00000000" w:rsidDel="00000000" w:rsidP="00000000" w:rsidRDefault="00000000" w:rsidRPr="00000000" w14:paraId="000000E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Salários dos operadores da estação e dos engenheiros supervisores</w:t>
      </w:r>
    </w:p>
    <w:p w:rsidR="00000000" w:rsidDel="00000000" w:rsidP="00000000" w:rsidRDefault="00000000" w:rsidRPr="00000000" w14:paraId="000000E7">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Tempo de supervisão e gestão da equipa</w:t>
      </w:r>
    </w:p>
    <w:p w:rsidR="00000000" w:rsidDel="00000000" w:rsidP="00000000" w:rsidRDefault="00000000" w:rsidRPr="00000000" w14:paraId="000000E8">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com formações</w:t>
      </w:r>
    </w:p>
    <w:p w:rsidR="00000000" w:rsidDel="00000000" w:rsidP="00000000" w:rsidRDefault="00000000" w:rsidRPr="00000000" w14:paraId="000000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Peças sobressalentes, peças de substituição e consumíveis</w:t>
      </w:r>
    </w:p>
    <w:p w:rsidR="00000000" w:rsidDel="00000000" w:rsidP="00000000" w:rsidRDefault="00000000" w:rsidRPr="00000000" w14:paraId="000000E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peças que se desgastam regularmente e que necessitam de ser substituídas como parte da manutenção preventiva. Caso exista um contrato de manutenção, confirmar se as peças sobressalentes estão incluídas no contrato.</w:t>
      </w:r>
    </w:p>
    <w:p w:rsidR="00000000" w:rsidDel="00000000" w:rsidP="00000000" w:rsidRDefault="00000000" w:rsidRPr="00000000" w14:paraId="000000E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Produtos lubrificantes e produtos de limpeza compatíveis com oxigénio</w:t>
      </w:r>
    </w:p>
    <w:p w:rsidR="00000000" w:rsidDel="00000000" w:rsidP="00000000" w:rsidRDefault="00000000" w:rsidRPr="00000000" w14:paraId="000000E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Ferramentas e Equipamento de Proteção Individual (EPI)</w:t>
      </w:r>
    </w:p>
    <w:p w:rsidR="00000000" w:rsidDel="00000000" w:rsidP="00000000" w:rsidRDefault="00000000" w:rsidRPr="00000000" w14:paraId="000000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Seguro: Se a unidade de saúde tiver uma apólice de seguro para as suas instalações, considerar a inclusão do ativo da estação de PSA e do respetivo espaço na cobertura da apólice.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Crie uma lista de peças sobressalentes para utilização nos processos de aquisição, com base </w:t>
      </w:r>
      <w:hyperlink r:id="rId14">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neste documento orientador</w:t>
        </w:r>
      </w:hyperlink>
      <w:hyperlink r:id="rId15">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Manutenção corretiva e reparações: embora a manutenção preventiva minimize as avarias, deve ser reservado um orçamento para reparações de emergência e os custos indiretos resultantes (por exemplo, transporte de cilindros adicionais, combustível para geradores, etc.)</w:t>
      </w:r>
    </w:p>
    <w:p w:rsidR="00000000" w:rsidDel="00000000" w:rsidP="00000000" w:rsidRDefault="00000000" w:rsidRPr="00000000" w14:paraId="000000F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com a gestão dos cilindros</w:t>
      </w:r>
    </w:p>
    <w:p w:rsidR="00000000" w:rsidDel="00000000" w:rsidP="00000000" w:rsidRDefault="00000000" w:rsidRPr="00000000" w14:paraId="000000F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Transporte dos cilindros (carrinhos ou veículos motorizados)</w:t>
      </w:r>
    </w:p>
    <w:p w:rsidR="00000000" w:rsidDel="00000000" w:rsidP="00000000" w:rsidRDefault="00000000" w:rsidRPr="00000000" w14:paraId="000000F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Pessoal e tempo dedicados à gestão dos cilindros</w:t>
      </w:r>
    </w:p>
    <w:p w:rsidR="00000000" w:rsidDel="00000000" w:rsidP="00000000" w:rsidRDefault="00000000" w:rsidRPr="00000000" w14:paraId="000000F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Expansão do inventário de cilindros e acessórios</w:t>
      </w:r>
    </w:p>
    <w:p w:rsidR="00000000" w:rsidDel="00000000" w:rsidP="00000000" w:rsidRDefault="00000000" w:rsidRPr="00000000" w14:paraId="000000F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de eletricidade e combustível</w:t>
      </w:r>
    </w:p>
    <w:p w:rsidR="00000000" w:rsidDel="00000000" w:rsidP="00000000" w:rsidRDefault="00000000" w:rsidRPr="00000000" w14:paraId="000000F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Encargos da rede pública</w:t>
      </w:r>
    </w:p>
    <w:p w:rsidR="00000000" w:rsidDel="00000000" w:rsidP="00000000" w:rsidRDefault="00000000" w:rsidRPr="00000000" w14:paraId="000000F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Combustível para o gerador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diesel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 outro)</w:t>
      </w:r>
    </w:p>
    <w:p w:rsidR="00000000" w:rsidDel="00000000" w:rsidP="00000000" w:rsidRDefault="00000000" w:rsidRPr="00000000" w14:paraId="000000F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Manutenção do gerador (óleo, filtros de combustível, líquido de refrigeração)</w:t>
      </w:r>
    </w:p>
    <w:p w:rsidR="00000000" w:rsidDel="00000000" w:rsidP="00000000" w:rsidRDefault="00000000" w:rsidRPr="00000000" w14:paraId="000000F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Medição e monitorização do consumo elétrico</w:t>
        <w:br w:type="textWrapping"/>
      </w:r>
    </w:p>
    <w:p w:rsidR="00000000" w:rsidDel="00000000" w:rsidP="00000000" w:rsidRDefault="00000000" w:rsidRPr="00000000" w14:paraId="000000FB">
      <w:pPr>
        <w:pStyle w:val="Heading3"/>
        <w:rPr/>
      </w:pPr>
      <w:bookmarkStart w:colFirst="0" w:colLast="0" w:name="_heading=h.21yxp69nfi9v" w:id="17"/>
      <w:bookmarkEnd w:id="17"/>
      <w:r w:rsidDel="00000000" w:rsidR="00000000" w:rsidRPr="00000000">
        <w:rPr>
          <w:color w:val="000000"/>
          <w:rtl w:val="0"/>
        </w:rPr>
        <w:t xml:space="preserve">6.2 </w:t>
      </w:r>
      <w:r w:rsidDel="00000000" w:rsidR="00000000" w:rsidRPr="00000000">
        <w:rPr>
          <w:rtl w:val="0"/>
        </w:rPr>
        <w:t xml:space="preserve">Processo de planeamento orçamental</w:t>
      </w:r>
    </w:p>
    <w:p w:rsidR="00000000" w:rsidDel="00000000" w:rsidP="00000000" w:rsidRDefault="00000000" w:rsidRPr="00000000" w14:paraId="000000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Preparar anualmente um orçamento operacional detalhado da estação, alinhado com o ano fiscal do hospital. Enviá-lo para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nome do(a) administrador(a) ou do(a) responsável financeiro(a)]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registos mensais das faturas de eletricidade/combustível, de aquisição e utilização de peças, dos salários do pessoal e das atividades de manutenção.</w:t>
      </w:r>
    </w:p>
    <w:p w:rsidR="00000000" w:rsidDel="00000000" w:rsidP="00000000" w:rsidRDefault="00000000" w:rsidRPr="00000000" w14:paraId="000000F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Rever o orçamento operacional a cada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 (ex.: 6 meses)]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forma que reflita o desempenho da estação, as taxas de desgaste, e o consumo de eletricidade.</w:t>
      </w:r>
    </w:p>
    <w:p w:rsidR="00000000" w:rsidDel="00000000" w:rsidP="00000000" w:rsidRDefault="00000000" w:rsidRPr="00000000" w14:paraId="000000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orçamento da estação de oxigénio é gerido por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cargo responsável]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coordenação com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nome da autoridade financeira]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Preparar uma estratégia de financiamento. </w:t>
      </w: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Incluindo se os cilindros de oxigénio serão fornecidos a unidades periféricas ou privadas de forma gratuita, a preço de custo, ou com margem de lucro. Este modelo determinará se é possível calcular um lucro esperado e incluí-lo no orçamento global.</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jc w:val="left"/>
        <w:rPr>
          <w:rFonts w:ascii="Arial" w:cs="Arial" w:eastAsia="Arial" w:hAnsi="Arial"/>
          <w:b w:val="0"/>
          <w:i w:val="1"/>
          <w:smallCaps w:val="0"/>
          <w:strike w:val="0"/>
          <w:color w:val="0000ff"/>
          <w:sz w:val="22"/>
          <w:szCs w:val="22"/>
          <w:u w:val="none"/>
          <w:shd w:fill="auto" w:val="clear"/>
          <w:vertAlign w:val="baseline"/>
        </w:rPr>
      </w:pPr>
      <w:bookmarkStart w:colFirst="0" w:colLast="0" w:name="_heading=h.t8t4uzqh7xp" w:id="18"/>
      <w:bookmarkEnd w:id="18"/>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O orçamento operacional deve ser adaptado às necessidades específicas da unidade e da estação de oxigénio, tendo em conta o plano de funcionamento, o modelo de fornecimento (canalizado vs. cilindros), a dimensão da estação, o número de funcionários e a fonte de energia. As unidades devem realizar revisões periódicas e utilizar contadores de energia, registos da estação e relatórios de manutenção para ajustar os respetivos orçamentos. Um modelo de orçamento pode ser encontrado </w:t>
      </w:r>
      <w:hyperlink r:id="rId16">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neste documento orientador</w:t>
        </w:r>
      </w:hyperlink>
      <w:hyperlink r:id="rId17">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rPr/>
      </w:pPr>
      <w:bookmarkStart w:colFirst="0" w:colLast="0" w:name="_heading=h.bx36onvqxrdf" w:id="19"/>
      <w:bookmarkEnd w:id="19"/>
      <w:r w:rsidDel="00000000" w:rsidR="00000000" w:rsidRPr="00000000">
        <w:rPr>
          <w:rtl w:val="0"/>
        </w:rPr>
        <w:t xml:space="preserve">7. Precauções de Segurança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oxigénio é um elemento fundamental para o fogo e, devido à elevada pressão a que é armazenado e distribuído, o seu manuseamento pode representar riscos de segurança significativos se não forem adotadas as devidas medidas de proteção.</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Nota: Esta secção não inclui a segurança elétrica. Esta deve ser desenvolvida como um documento separado, em conformidade com as normas nacionais aplicáveis, e referenciada aqui como Anexo.</w:t>
      </w:r>
    </w:p>
    <w:p w:rsidR="00000000" w:rsidDel="00000000" w:rsidP="00000000" w:rsidRDefault="00000000" w:rsidRPr="00000000" w14:paraId="00000109">
      <w:pPr>
        <w:pStyle w:val="Heading4"/>
        <w:jc w:val="left"/>
        <w:rPr/>
      </w:pPr>
      <w:bookmarkStart w:colFirst="0" w:colLast="0" w:name="_heading=h.rspuh5qftfqb" w:id="20"/>
      <w:bookmarkEnd w:id="20"/>
      <w:r w:rsidDel="00000000" w:rsidR="00000000" w:rsidRPr="00000000">
        <w:rPr>
          <w:rtl w:val="0"/>
        </w:rPr>
      </w:r>
    </w:p>
    <w:p w:rsidR="00000000" w:rsidDel="00000000" w:rsidP="00000000" w:rsidRDefault="00000000" w:rsidRPr="00000000" w14:paraId="0000010A">
      <w:pPr>
        <w:pStyle w:val="Heading3"/>
        <w:rPr/>
      </w:pPr>
      <w:bookmarkStart w:colFirst="0" w:colLast="0" w:name="_heading=h.o5cfjc69e43z" w:id="21"/>
      <w:bookmarkEnd w:id="21"/>
      <w:r w:rsidDel="00000000" w:rsidR="00000000" w:rsidRPr="00000000">
        <w:rPr>
          <w:rtl w:val="0"/>
        </w:rPr>
        <w:t xml:space="preserve">7.1 Segurança contra incêndios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medida que a concentração de oxigénio aumenta num espaço, os incêndios ardem mais rapidamente, com maior intensidade e violência. Para que ocorra um incêndio, devem estar presentes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oxigénio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combustível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Devem ser tomadas as seguintes medidas para reduzir o risco de incêndio: </w:t>
      </w:r>
    </w:p>
    <w:p w:rsidR="00000000" w:rsidDel="00000000" w:rsidP="00000000" w:rsidRDefault="00000000" w:rsidRPr="00000000" w14:paraId="0000010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Assegurar ventilação adequada para limitar a acumulação de oxigénio </w:t>
      </w:r>
    </w:p>
    <w:p w:rsidR="00000000" w:rsidDel="00000000" w:rsidP="00000000" w:rsidRDefault="00000000" w:rsidRPr="00000000" w14:paraId="0000010D">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regularmente se todos os sistemas de ventilação ativos estão a funcionar corretamente </w:t>
      </w:r>
    </w:p>
    <w:p w:rsidR="00000000" w:rsidDel="00000000" w:rsidP="00000000" w:rsidRDefault="00000000" w:rsidRPr="00000000" w14:paraId="0000010E">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Abrir as portas antes de ligar a estação</w:t>
      </w:r>
    </w:p>
    <w:p w:rsidR="00000000" w:rsidDel="00000000" w:rsidP="00000000" w:rsidRDefault="00000000" w:rsidRPr="00000000" w14:paraId="0000010F">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Inspecionar regularmente a existência de fugas e proceder à sua resolução</w:t>
      </w:r>
    </w:p>
    <w:p w:rsidR="00000000" w:rsidDel="00000000" w:rsidP="00000000" w:rsidRDefault="00000000" w:rsidRPr="00000000" w14:paraId="0000011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permitir a acumulação de fontes de combustível dentro ou nas imediações da estação de oxigénio. Isto inclui:</w:t>
      </w:r>
    </w:p>
    <w:p w:rsidR="00000000" w:rsidDel="00000000" w:rsidP="00000000" w:rsidRDefault="00000000" w:rsidRPr="00000000" w14:paraId="0000011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Ninhos de aves, ervas e outros materiais fibrosos</w:t>
      </w:r>
    </w:p>
    <w:p w:rsidR="00000000" w:rsidDel="00000000" w:rsidP="00000000" w:rsidRDefault="00000000" w:rsidRPr="00000000" w14:paraId="0000011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Pilhas de papel</w:t>
      </w:r>
    </w:p>
    <w:p w:rsidR="00000000" w:rsidDel="00000000" w:rsidP="00000000" w:rsidRDefault="00000000" w:rsidRPr="00000000" w14:paraId="0000011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Gasolina, diesel, propano, óleo, solventes</w:t>
      </w:r>
    </w:p>
    <w:p w:rsidR="00000000" w:rsidDel="00000000" w:rsidP="00000000" w:rsidRDefault="00000000" w:rsidRPr="00000000" w14:paraId="0000011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Roupas, trapos, tecidos</w:t>
      </w:r>
    </w:p>
    <w:p w:rsidR="00000000" w:rsidDel="00000000" w:rsidP="00000000" w:rsidRDefault="00000000" w:rsidRPr="00000000" w14:paraId="0000011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Madeira (incluindo mobiliário)</w:t>
      </w:r>
    </w:p>
    <w:p w:rsidR="00000000" w:rsidDel="00000000" w:rsidP="00000000" w:rsidRDefault="00000000" w:rsidRPr="00000000" w14:paraId="000001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permitir fontes de calor perto do equipamento de oxigénio. Isto inclui: </w:t>
      </w:r>
    </w:p>
    <w:p w:rsidR="00000000" w:rsidDel="00000000" w:rsidP="00000000" w:rsidRDefault="00000000" w:rsidRPr="00000000" w14:paraId="00000117">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Fogões, placas, grelhadores</w:t>
      </w:r>
    </w:p>
    <w:p w:rsidR="00000000" w:rsidDel="00000000" w:rsidP="00000000" w:rsidRDefault="00000000" w:rsidRPr="00000000" w14:paraId="00000118">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Aquecedores de qualquer tipo</w:t>
      </w:r>
    </w:p>
    <w:p w:rsidR="00000000" w:rsidDel="00000000" w:rsidP="00000000" w:rsidRDefault="00000000" w:rsidRPr="00000000" w14:paraId="0000011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Fósforos, isqueiros, etc.</w:t>
      </w:r>
    </w:p>
    <w:p w:rsidR="00000000" w:rsidDel="00000000" w:rsidP="00000000" w:rsidRDefault="00000000" w:rsidRPr="00000000" w14:paraId="0000011A">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Trabalhos de corte, soldadura ou qualquer reparação que produza calor (estes trabalhos devem ser realizados com a estação desligada e a sala devidamente ventilada previamente) </w:t>
      </w:r>
    </w:p>
    <w:p w:rsidR="00000000" w:rsidDel="00000000" w:rsidP="00000000" w:rsidRDefault="00000000" w:rsidRPr="00000000" w14:paraId="0000011B">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Tabaco (fumar)</w:t>
      </w:r>
    </w:p>
    <w:p w:rsidR="00000000" w:rsidDel="00000000" w:rsidP="00000000" w:rsidRDefault="00000000" w:rsidRPr="00000000" w14:paraId="0000011C">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Veículos em funcionamento (carros, camiões, motas, etc.)</w:t>
      </w:r>
    </w:p>
    <w:p w:rsidR="00000000" w:rsidDel="00000000" w:rsidP="00000000" w:rsidRDefault="00000000" w:rsidRPr="00000000" w14:paraId="0000011D">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Extensões elétricas ou tomadas múltiplas sobrecarregadas</w:t>
      </w:r>
    </w:p>
    <w:p w:rsidR="00000000" w:rsidDel="00000000" w:rsidP="00000000" w:rsidRDefault="00000000" w:rsidRPr="00000000" w14:paraId="0000011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um plano de segurança contra incêndios</w:t>
      </w:r>
    </w:p>
    <w:p w:rsidR="00000000" w:rsidDel="00000000" w:rsidP="00000000" w:rsidRDefault="00000000" w:rsidRPr="00000000" w14:paraId="0000011F">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a existência de sistemas de supressão de incêndios na estação</w:t>
      </w:r>
    </w:p>
    <w:p w:rsidR="00000000" w:rsidDel="00000000" w:rsidP="00000000" w:rsidRDefault="00000000" w:rsidRPr="00000000" w14:paraId="00000120">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existirem detetores de fumo e alarmes, inspecionar regularmente se estão devidamente instalados e a funcionar</w:t>
      </w:r>
    </w:p>
    <w:p w:rsidR="00000000" w:rsidDel="00000000" w:rsidP="00000000" w:rsidRDefault="00000000" w:rsidRPr="00000000" w14:paraId="0000012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existirem extintores, devem ser colocados em local de fácil acesso, ao longo de uma rota de evacuação. Os extintores devem ser inspecionados regularmente, o que inclui a verificação da data de validade</w:t>
      </w:r>
    </w:p>
    <w:p w:rsidR="00000000" w:rsidDel="00000000" w:rsidP="00000000" w:rsidRDefault="00000000" w:rsidRPr="00000000" w14:paraId="0000012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os funcionários da estação que trabalharão na estação devem conhecer as saídas da estação, as rotas de fuga, as localizações dos equipamentos de proteção contra fogos, e os pontos de encontro</w:t>
      </w:r>
    </w:p>
    <w:p w:rsidR="00000000" w:rsidDel="00000000" w:rsidP="00000000" w:rsidRDefault="00000000" w:rsidRPr="00000000" w14:paraId="0000012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que existe uma rota de fuga secundária, acessível, na sala da estação  </w:t>
      </w:r>
    </w:p>
    <w:p w:rsidR="00000000" w:rsidDel="00000000" w:rsidP="00000000" w:rsidRDefault="00000000" w:rsidRPr="00000000" w14:paraId="00000124">
      <w:pPr>
        <w:pStyle w:val="Heading4"/>
        <w:jc w:val="left"/>
        <w:rPr/>
      </w:pPr>
      <w:bookmarkStart w:colFirst="0" w:colLast="0" w:name="_heading=h.pd30mrtndqsn" w:id="22"/>
      <w:bookmarkEnd w:id="22"/>
      <w:r w:rsidDel="00000000" w:rsidR="00000000" w:rsidRPr="00000000">
        <w:rPr>
          <w:rtl w:val="0"/>
        </w:rPr>
      </w:r>
    </w:p>
    <w:p w:rsidR="00000000" w:rsidDel="00000000" w:rsidP="00000000" w:rsidRDefault="00000000" w:rsidRPr="00000000" w14:paraId="00000125">
      <w:pPr>
        <w:pStyle w:val="Heading3"/>
        <w:rPr/>
      </w:pPr>
      <w:bookmarkStart w:colFirst="0" w:colLast="0" w:name="_heading=h.snjcgheiubd8" w:id="23"/>
      <w:bookmarkEnd w:id="23"/>
      <w:r w:rsidDel="00000000" w:rsidR="00000000" w:rsidRPr="00000000">
        <w:rPr>
          <w:rtl w:val="0"/>
        </w:rPr>
        <w:t xml:space="preserve">7.2 Equipamento de Proteção Individual (EPI)</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garantir condições de trabalho seguras para o pessoal técnico, é obrigatório o uso dos seguintes EPI: </w:t>
      </w:r>
    </w:p>
    <w:p w:rsidR="00000000" w:rsidDel="00000000" w:rsidP="00000000" w:rsidRDefault="00000000" w:rsidRPr="00000000" w14:paraId="0000012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Óculos de segurança: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lesões oculares são as mais comuns quando se trabalha com sistemas pressurizados. A proteção ocular deve ter certificação adequada (ex.: ANSI Z87 ou EN 166).</w:t>
      </w:r>
    </w:p>
    <w:p w:rsidR="00000000" w:rsidDel="00000000" w:rsidP="00000000" w:rsidRDefault="00000000" w:rsidRPr="00000000" w14:paraId="0000012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Proteção auditiva: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Tampões ou auriculares podem ajudar a abafar o ruído para níveis seguros durante exposições prolongadas.</w:t>
      </w:r>
    </w:p>
    <w:p w:rsidR="00000000" w:rsidDel="00000000" w:rsidP="00000000" w:rsidRDefault="00000000" w:rsidRPr="00000000" w14:paraId="0000012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Roupa e calçado de trabalho: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evitar lesões mecânicas nos membros, devem ser utilizados sempre sapatos ou botas fechados. Deve-se evitar roupa larga ou joias, para que não fiquem presas no equipamento.</w:t>
      </w:r>
    </w:p>
    <w:p w:rsidR="00000000" w:rsidDel="00000000" w:rsidP="00000000" w:rsidRDefault="00000000" w:rsidRPr="00000000" w14:paraId="0000012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EPI para trabalhos elétricos: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Durante trabalhos com eletricidade, o pessoal técnico deve calçar botas isolantes, usar luvas isolantes, e ferramentas isolantes, certificadas para o nível de tensão elétrica em que irão trabalhar. Além disso, não devem usar joias metálicas.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F">
      <w:pPr>
        <w:pStyle w:val="Heading2"/>
        <w:rPr/>
      </w:pPr>
      <w:bookmarkStart w:colFirst="0" w:colLast="0" w:name="_heading=h.wgq5i7fnox6k" w:id="24"/>
      <w:bookmarkEnd w:id="24"/>
      <w:r w:rsidDel="00000000" w:rsidR="00000000" w:rsidRPr="00000000">
        <w:rPr>
          <w:rtl w:val="0"/>
        </w:rPr>
        <w:t xml:space="preserve">8. Manutenção e Documentação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operação de uma estação de oxigénio existem três tipos de atividades de manutenção a planear e acompanhar. É essencial garantir que os registos estão corretos e atualizados. Todos os documentos devem ser arquivados num local centralizado e acessível apenas a pessoal autorizado.</w:t>
      </w:r>
    </w:p>
    <w:p w:rsidR="00000000" w:rsidDel="00000000" w:rsidP="00000000" w:rsidRDefault="00000000" w:rsidRPr="00000000" w14:paraId="00000132">
      <w:pPr>
        <w:pStyle w:val="Heading4"/>
        <w:widowControl w:val="0"/>
        <w:jc w:val="left"/>
        <w:rPr/>
      </w:pPr>
      <w:bookmarkStart w:colFirst="0" w:colLast="0" w:name="_heading=h.dtbw5h6clbro" w:id="25"/>
      <w:bookmarkEnd w:id="25"/>
      <w:r w:rsidDel="00000000" w:rsidR="00000000" w:rsidRPr="00000000">
        <w:rPr>
          <w:rtl w:val="0"/>
        </w:rPr>
      </w:r>
    </w:p>
    <w:p w:rsidR="00000000" w:rsidDel="00000000" w:rsidP="00000000" w:rsidRDefault="00000000" w:rsidRPr="00000000" w14:paraId="00000133">
      <w:pPr>
        <w:pStyle w:val="Heading3"/>
        <w:rPr/>
      </w:pPr>
      <w:bookmarkStart w:colFirst="0" w:colLast="0" w:name="_heading=h.2hgcutxisrgc" w:id="26"/>
      <w:bookmarkEnd w:id="26"/>
      <w:r w:rsidDel="00000000" w:rsidR="00000000" w:rsidRPr="00000000">
        <w:rPr>
          <w:rtl w:val="0"/>
        </w:rPr>
        <w:t xml:space="preserve">8.1 Verificações diárias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verificações diárias (e semanais) permitem aos operadores acompanhar o estado da estação e desencadear ações que garantam o seu funcionamento ótimo. Esta é a principal responsabilidade do operador da estação. Representa o historial de funcionamento da estação. As atividades obrigatórias da Lista de Verificação Diária encontram-se no </w:t>
      </w:r>
      <w:hyperlink w:anchor="_heading=h.dcyg0cjm83p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formulário só deve ser preenchido nos dias em que a estação esteja em funcionamento. Se a estação não for ligada, o operador deve assinalar “OFF” nesse dia, para deixar claro que a lista de verificação não foi ignorada. Se a estação tiver configuração dupla, devem ser preenchidas duas listas de verificação por dia, com indicação da linha de produção que está a ser verificada. As atividades da Lista de Verificação Diária podem ser agrupadas em duas categorias: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Inspeção visual: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marcas de verificação, respostas Sim/Não, ou N/A quando não aplicável.</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Registo de dados diários: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valores numéricos, dados dos ecrãs, medições, leituras de manómetros, horas de funcionamento.</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fundamental que os dados recolhidos nestas listas de verificação sejam cuidadosamente monitorizados, para que a manutenção preventiva de rotina possa ser agendada e potenciais problemas sejam detetados antes de evoluírem para danos críticos na estação. O operador da estação ou o responsável pela engenharia biomédica deve verificar regularmente as listas de verificação diária em comparação com os parâmetros esperados especificados no manual do fabricante. Um exemplo de tabela de valores de referência, que pode ser personalizada, encontra-se no </w:t>
      </w:r>
      <w:hyperlink w:anchor="_heading=h.ctrk679mwgm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ocorrer um problema, este deve ser reportado 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nome do(a) gestor(a)]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a estação estiver abrangida por um contrato de manutenção, o prestador local de serviços deve ser contactado utilizando os dados de contacto indicados na Secção 10.2.</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Em alguns casos, os fornecedores de estações de oxigénio fornecem uma lista de verificação diária específica. O cumprimento dessa lista pode ser obrigatório para assegurar a validade do contrato de manutenção ou da garantia. Nesses casos, deve ser utilizada a lista de verificação fornecida. Um exemplo de lista de verificação diária encontra-se no </w:t>
      </w:r>
      <w:hyperlink w:anchor="_heading=h.dcyg0cjm83pm">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A</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Caso o fornecedor não disponibilize uma lista ou esta seja menos completa, adapte e use a lista de verificação fornecida no Anexo A.</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pStyle w:val="Heading3"/>
        <w:rPr/>
      </w:pPr>
      <w:bookmarkStart w:colFirst="0" w:colLast="0" w:name="_heading=h.b3pvlo3mguqv" w:id="27"/>
      <w:bookmarkEnd w:id="27"/>
      <w:r w:rsidDel="00000000" w:rsidR="00000000" w:rsidRPr="00000000">
        <w:rPr>
          <w:rtl w:val="0"/>
        </w:rPr>
        <w:t xml:space="preserve">8.2 Manutenção preventiva</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manutenção preventiva consiste em atividades de manutenção planeadas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ver </w:t>
      </w:r>
      <w:hyperlink w:anchor="_heading=h.34lshst91ca">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que ocorrem em intervalos definidos, de forma a garantir que a estação de oxigénio funciona de forma ótima. O calendário destas atividades é determinado pelas recomendações do fabricante para cada componente do equipamento. Esta informação pode geralmente ser encontrada nos manuais do equipamento ou nos detalhes do contrato de manutenção. O registo de manutenção preventiva encontra-se no </w:t>
      </w:r>
      <w:hyperlink w:anchor="_heading=h.9702lxs4nl2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seguintes ações devem ser sempre realizadas, independentemente de as atividades serem executadas pela equipa do hospital ou por um prestador de serviços contratado: </w:t>
      </w:r>
    </w:p>
    <w:p w:rsidR="00000000" w:rsidDel="00000000" w:rsidP="00000000" w:rsidRDefault="00000000" w:rsidRPr="00000000" w14:paraId="0000014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Introduzir as informações do equipamento (fabricante, modelo e número de série) nos campos superiores do registo.</w:t>
      </w:r>
    </w:p>
    <w:p w:rsidR="00000000" w:rsidDel="00000000" w:rsidP="00000000" w:rsidRDefault="00000000" w:rsidRPr="00000000" w14:paraId="0000014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Preencher a frequência de cada atividade de acordo com os calendários recomendados pelo fabricante.</w:t>
      </w:r>
    </w:p>
    <w:p w:rsidR="00000000" w:rsidDel="00000000" w:rsidP="00000000" w:rsidRDefault="00000000" w:rsidRPr="00000000" w14:paraId="0000014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Sempre que a manutenção for realizada, registar as horas de funcionamento e as iniciais do técnico responsável do hospital que supervisionou a atividade.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O modelo de registo de manutenção preventiva constante no </w:t>
      </w:r>
      <w:hyperlink w:anchor="_heading=h.9702lxs4nl29">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C</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inclui campos para atividades preventivas comuns a cada tipo de equipamento. No entanto, cada marca e modelo pode ter atividades ligeiramente diferentes e específicas. O modelo deve, por isso, ser ajustado para incluir as atividades de manutenção preventiva correspondentes aos equipamentos específicos instalados na estação.</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3"/>
        <w:rPr/>
      </w:pPr>
      <w:bookmarkStart w:colFirst="0" w:colLast="0" w:name="_heading=h.ow3420xj9wkb" w:id="28"/>
      <w:bookmarkEnd w:id="28"/>
      <w:r w:rsidDel="00000000" w:rsidR="00000000" w:rsidRPr="00000000">
        <w:rPr>
          <w:rtl w:val="0"/>
        </w:rPr>
        <w:t xml:space="preserve">8.3 Manutenção corretiva (reparações)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manutenção corretiva consiste em atividades de manutenção não planeadas, necessárias quando a estação sofre uma avaria inesperada e requer reparação. Um modelo de registo de reparações encontra-se no </w:t>
      </w:r>
      <w:hyperlink w:anchor="_heading=h.bryy7mdr23i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Sempre que for necessária manutenção corretiva, o operador da estação ou o engenheiro biomédico responsável deve registar a data, o problema identificado e as ações corretivas realizadas. Este registo deve ser preenchido mesmo que a reparação seja executada por um prestador de serviços externo. Se a manutenção corretiva for realizada por um prestador externo, o pessoal técnico do hospital deve estar presente para observar as atividades e deve solicitar um relatório de seguimento com os trabalhos concluídos.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3"/>
        <w:rPr/>
      </w:pPr>
      <w:bookmarkStart w:colFirst="0" w:colLast="0" w:name="_heading=h.x5cxhnv4eh69" w:id="29"/>
      <w:bookmarkEnd w:id="29"/>
      <w:r w:rsidDel="00000000" w:rsidR="00000000" w:rsidRPr="00000000">
        <w:rPr>
          <w:rtl w:val="0"/>
        </w:rPr>
        <w:t xml:space="preserve">8.4 Relatórios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responsabilidade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[operador(a) da estação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partilhar as Listas de Verificação Diária concluídas e os registos de manutenção atualizados com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[engenheiro(a) biomédico(a)]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pelo menos, a seguinte frequência: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[Engenheiro(a) biomédico(a)]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responsável por analisar os dados e reportar as atualizações relevantes 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[supervisor(a) da estação]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a seguinte frequência: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C">
      <w:pPr>
        <w:pStyle w:val="Heading2"/>
        <w:rPr/>
      </w:pPr>
      <w:bookmarkStart w:colFirst="0" w:colLast="0" w:name="_heading=h.m3zutvg0tpo4" w:id="30"/>
      <w:bookmarkEnd w:id="30"/>
      <w:r w:rsidDel="00000000" w:rsidR="00000000" w:rsidRPr="00000000">
        <w:rPr>
          <w:rtl w:val="0"/>
        </w:rPr>
        <w:t xml:space="preserve">9. Garantia e Contrato de Manutenção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compreensão adequada das garantias e dos contratos de manutenção é essencial para garantir que o equipamento da estação de oxigénio seja mantido, reparado ou substituído de forma atempada e economicamente eficiente. Estes documentos devem ser guardados em formato físico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local]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bem como em formato digital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local digital]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Garantia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a garantia do fabricante de que o equipamento funcionará conforme previsto durante um período específico, cobrindo geralmente defeitos de materiais ou de fabrico e avarias inesperadas em condições normais de funcionamento. Normalmente, a garantia é adquirida no momento da compra da estação.</w:t>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Contrato de manutenção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É um contrato separado, geralmente celebrado com o fabricante ou com um prestador de serviços local, que cobre a manutenção preventiva de rotina. O contrato de manutenção pode estar incluído na compra da estação ou ser negociado separadamente, depois de a estação já estar em funcionamento.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Esta secção só deve ser incluída se a estação tiver um contrato de manutenção ativo (</w:t>
      </w:r>
      <w:hyperlink w:anchor="_heading=h.g85w7lsb9pbr">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F</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ou uma garantia ativa (</w:t>
      </w:r>
      <w:hyperlink w:anchor="_heading=h.5sxbaodmkm12">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E</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As subsecções abaixo devem ser personalizadas com base nos detalhes dos documentos. Se essas informações não estiverem claras, deve-se contactar o fornecedor ou prestador de serviços para obter esclarecimentos.</w:t>
      </w:r>
    </w:p>
    <w:p w:rsidR="00000000" w:rsidDel="00000000" w:rsidP="00000000" w:rsidRDefault="00000000" w:rsidRPr="00000000" w14:paraId="00000153">
      <w:pPr>
        <w:pStyle w:val="Heading4"/>
        <w:widowControl w:val="0"/>
        <w:jc w:val="left"/>
        <w:rPr/>
      </w:pPr>
      <w:bookmarkStart w:colFirst="0" w:colLast="0" w:name="_heading=h.e7fxctujh6o3" w:id="31"/>
      <w:bookmarkEnd w:id="31"/>
      <w:r w:rsidDel="00000000" w:rsidR="00000000" w:rsidRPr="00000000">
        <w:rPr>
          <w:rtl w:val="0"/>
        </w:rPr>
      </w:r>
    </w:p>
    <w:p w:rsidR="00000000" w:rsidDel="00000000" w:rsidP="00000000" w:rsidRDefault="00000000" w:rsidRPr="00000000" w14:paraId="00000154">
      <w:pPr>
        <w:pStyle w:val="Heading3"/>
        <w:rPr/>
      </w:pPr>
      <w:bookmarkStart w:colFirst="0" w:colLast="0" w:name="_heading=h.n3173af29lni" w:id="32"/>
      <w:bookmarkEnd w:id="32"/>
      <w:r w:rsidDel="00000000" w:rsidR="00000000" w:rsidRPr="00000000">
        <w:rPr>
          <w:rtl w:val="0"/>
        </w:rPr>
        <w:t xml:space="preserve">9.1 Garantia </w:t>
      </w:r>
    </w:p>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Informações de contacto do fornecedor</w:t>
            </w:r>
          </w:p>
        </w:tc>
        <w:tc>
          <w:tcPr>
            <w:shd w:fill="auto" w:val="clear"/>
            <w:tcMar>
              <w:top w:w="100.0" w:type="dxa"/>
              <w:left w:w="100.0" w:type="dxa"/>
              <w:bottom w:w="100.0" w:type="dxa"/>
              <w:right w:w="100.0" w:type="dxa"/>
            </w:tcM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Início da garantia</w:t>
            </w:r>
          </w:p>
        </w:tc>
        <w:tc>
          <w:tcPr>
            <w:shd w:fill="auto" w:val="clear"/>
            <w:tcMar>
              <w:top w:w="100.0" w:type="dxa"/>
              <w:left w:w="100.0" w:type="dxa"/>
              <w:bottom w:w="100.0" w:type="dxa"/>
              <w:right w:w="100.0" w:type="dxa"/>
            </w:tcM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Algumas garantias têm uma data de início específica, enquanto outras começam na instalação e permanecem ativas durante um número definido de horas de funcionamento. Registar aqui a métrica que se aplica à garantia.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Fim da garantia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Algumas garantias têm uma data de término definida, enquanto outras estão ativas durante um número específico de horas de funcionamento. Registar aqui a métrica que se aplica à garantia.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incluídos</w:t>
            </w:r>
          </w:p>
        </w:tc>
        <w:tc>
          <w:tcPr>
            <w:shd w:fill="auto" w:val="clear"/>
            <w:tcMar>
              <w:top w:w="100.0" w:type="dxa"/>
              <w:left w:w="100.0" w:type="dxa"/>
              <w:bottom w:w="100.0" w:type="dxa"/>
              <w:right w:w="100.0" w:type="dxa"/>
            </w:tcMa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Ex.: mão de obra, diagnósticos, deslocações, alojamento, despesas incidentais, peças de substituição, envio de peças,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excluídos</w:t>
            </w:r>
          </w:p>
        </w:tc>
        <w:tc>
          <w:tcPr>
            <w:shd w:fill="auto" w:val="clear"/>
            <w:tcMar>
              <w:top w:w="100.0" w:type="dxa"/>
              <w:left w:w="100.0" w:type="dxa"/>
              <w:bottom w:w="100.0" w:type="dxa"/>
              <w:right w:w="100.0" w:type="dxa"/>
            </w:tcMa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Ex.: mão de obra, diagnósticos, deslocações, alojamento, despesas incidentais de técnicos, peças de substituição, envio de peças, etc.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Pessoal autorizado a operar e realizar manutenção na estação ao abrigo da garantia</w:t>
            </w:r>
          </w:p>
        </w:tc>
        <w:tc>
          <w:tcPr>
            <w:shd w:fill="auto" w:val="clear"/>
            <w:tcMar>
              <w:top w:w="100.0" w:type="dxa"/>
              <w:left w:w="100.0" w:type="dxa"/>
              <w:bottom w:w="100.0" w:type="dxa"/>
              <w:right w:w="100.0" w:type="dxa"/>
            </w:tcM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Atividades que o pessoal autorizado pode realizar ao abrigo da garantia</w:t>
            </w:r>
          </w:p>
        </w:tc>
        <w:tc>
          <w:tcPr>
            <w:shd w:fill="auto" w:val="clear"/>
            <w:tcMar>
              <w:top w:w="100.0" w:type="dxa"/>
              <w:left w:w="100.0" w:type="dxa"/>
              <w:bottom w:w="100.0" w:type="dxa"/>
              <w:right w:w="100.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Operar a estação, realizar verificações diárias de manutenção.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pessoal autorizado do hospital pode formar outros funcionários para operar e realizar manutenção na estação?</w:t>
            </w:r>
          </w:p>
        </w:tc>
        <w:tc>
          <w:tcPr>
            <w:shd w:fill="auto" w:val="clear"/>
            <w:tcMar>
              <w:top w:w="100.0" w:type="dxa"/>
              <w:left w:w="100.0" w:type="dxa"/>
              <w:bottom w:w="100.0" w:type="dxa"/>
              <w:right w:w="100.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Sim/Não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Prazo de resposta do fornecedor</w:t>
            </w:r>
          </w:p>
        </w:tc>
        <w:tc>
          <w:tcPr>
            <w:shd w:fill="auto" w:val="clear"/>
            <w:tcMar>
              <w:top w:w="100.0" w:type="dxa"/>
              <w:left w:w="100.0" w:type="dxa"/>
              <w:bottom w:w="100.0" w:type="dxa"/>
              <w:right w:w="100.0" w:type="dxa"/>
            </w:tcM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Apoio remoto disponível</w:t>
            </w:r>
          </w:p>
        </w:tc>
        <w:tc>
          <w:tcPr>
            <w:shd w:fill="auto" w:val="clear"/>
            <w:tcMar>
              <w:top w:w="100.0" w:type="dxa"/>
              <w:left w:w="100.0" w:type="dxa"/>
              <w:bottom w:w="100.0" w:type="dxa"/>
              <w:right w:w="100.0" w:type="dxa"/>
            </w:tcM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Sim/Não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Intervalo nominal de tensão aceitável</w:t>
            </w:r>
          </w:p>
        </w:tc>
        <w:tc>
          <w:tcPr>
            <w:shd w:fill="auto" w:val="clear"/>
            <w:tcMar>
              <w:top w:w="100.0" w:type="dxa"/>
              <w:left w:w="100.0" w:type="dxa"/>
              <w:bottom w:w="100.0" w:type="dxa"/>
              <w:right w:w="100.0" w:type="dxa"/>
            </w:tcM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Diferença de tensão aceitável entre fases</w:t>
            </w:r>
          </w:p>
        </w:tc>
        <w:tc>
          <w:tcPr>
            <w:shd w:fill="auto" w:val="clear"/>
            <w:tcMar>
              <w:top w:w="100.0" w:type="dxa"/>
              <w:left w:w="100.0" w:type="dxa"/>
              <w:bottom w:w="100.0" w:type="dxa"/>
              <w:right w:w="100.0" w:type="dxa"/>
            </w:tcM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Intervalo de frequência aceitável</w:t>
            </w:r>
          </w:p>
        </w:tc>
        <w:tc>
          <w:tcPr>
            <w:shd w:fill="auto" w:val="clear"/>
            <w:tcMar>
              <w:top w:w="100.0" w:type="dxa"/>
              <w:left w:w="100.0" w:type="dxa"/>
              <w:bottom w:w="100.0" w:type="dxa"/>
              <w:right w:w="100.0" w:type="dxa"/>
            </w:tcM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de alimentação de reserva </w:t>
            </w:r>
          </w:p>
        </w:tc>
        <w:tc>
          <w:tcPr>
            <w:shd w:fill="auto" w:val="clear"/>
            <w:tcMar>
              <w:top w:w="100.0" w:type="dxa"/>
              <w:left w:w="100.0" w:type="dxa"/>
              <w:bottom w:w="100.0" w:type="dxa"/>
              <w:right w:w="100.0" w:type="dxa"/>
            </w:tcM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Tempo máximo de paragem permitido durante uma falha de energia</w:t>
            </w:r>
          </w:p>
        </w:tc>
        <w:tc>
          <w:tcPr>
            <w:shd w:fill="auto" w:val="clear"/>
            <w:tcMar>
              <w:top w:w="100.0" w:type="dxa"/>
              <w:left w:w="100.0" w:type="dxa"/>
              <w:bottom w:w="100.0" w:type="dxa"/>
              <w:right w:w="100.0" w:type="dxa"/>
            </w:tcM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Condições que anulam a garantia </w:t>
            </w:r>
          </w:p>
        </w:tc>
        <w:tc>
          <w:tcPr>
            <w:shd w:fill="auto" w:val="clear"/>
            <w:tcMar>
              <w:top w:w="100.0" w:type="dxa"/>
              <w:left w:w="100.0" w:type="dxa"/>
              <w:bottom w:w="100.0" w:type="dxa"/>
              <w:right w:w="100.0" w:type="dxa"/>
            </w:tcMar>
          </w:tcPr>
          <w:p w:rsidR="00000000" w:rsidDel="00000000" w:rsidP="00000000" w:rsidRDefault="00000000" w:rsidRPr="00000000" w14:paraId="0000017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Manutenção não autorizada: Manutenção realizada por pessoal hospitalar ou por pessoas não formadas pelo fabricante.</w:t>
            </w:r>
          </w:p>
          <w:p w:rsidR="00000000" w:rsidDel="00000000" w:rsidP="00000000" w:rsidRDefault="00000000" w:rsidRPr="00000000" w14:paraId="0000017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Falta de manutenção: Não cumprimento dos requisitos mínimos de manutenção definidos pelo fabricante.</w:t>
            </w:r>
          </w:p>
          <w:p w:rsidR="00000000" w:rsidDel="00000000" w:rsidP="00000000" w:rsidRDefault="00000000" w:rsidRPr="00000000" w14:paraId="0000017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Manipulação e reparações não autorizadas: Modificações, alterações ou reparações realizadas por pessoal não aprovado anulam a garantia.</w:t>
            </w:r>
          </w:p>
          <w:p w:rsidR="00000000" w:rsidDel="00000000" w:rsidP="00000000" w:rsidRDefault="00000000" w:rsidRPr="00000000" w14:paraId="0000017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Falta de contrato de manutenção ativo com o fornecedor.</w:t>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Passos para efetuar uma reclamação de garantia:</w:t>
      </w:r>
    </w:p>
    <w:p w:rsidR="00000000" w:rsidDel="00000000" w:rsidP="00000000" w:rsidRDefault="00000000" w:rsidRPr="00000000" w14:paraId="0000017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Registar fotografias/vídeos e mensagens de erro relacionadas com o problema. </w:t>
      </w:r>
    </w:p>
    <w:p w:rsidR="00000000" w:rsidDel="00000000" w:rsidP="00000000" w:rsidRDefault="00000000" w:rsidRPr="00000000" w14:paraId="0000017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Partilhar os dados recolhidos e as informações da placa de identificação do equipamento, contactando o prestador de serviços local por telefone ou e-mail.</w:t>
      </w:r>
    </w:p>
    <w:p w:rsidR="00000000" w:rsidDel="00000000" w:rsidP="00000000" w:rsidRDefault="00000000" w:rsidRPr="00000000" w14:paraId="000001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XXX</w:t>
      </w:r>
    </w:p>
    <w:p w:rsidR="00000000" w:rsidDel="00000000" w:rsidP="00000000" w:rsidRDefault="00000000" w:rsidRPr="00000000" w14:paraId="0000017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XXX</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[Nome do fornecedor]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 responder às reclamações de garantia no prazo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______ horas/dias.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o fornecedor não responder dentro do prazo estipulado, o hospital deve proceder da seguinte forma: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contactar a empresa-mãe do prestador de serviços local e/ou apresentar uma queixa legal.</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rtl w:val="0"/>
        </w:rPr>
      </w:r>
    </w:p>
    <w:p w:rsidR="00000000" w:rsidDel="00000000" w:rsidP="00000000" w:rsidRDefault="00000000" w:rsidRPr="00000000" w14:paraId="00000186">
      <w:pPr>
        <w:pStyle w:val="Heading3"/>
        <w:rPr/>
      </w:pPr>
      <w:bookmarkStart w:colFirst="0" w:colLast="0" w:name="_heading=h.v3zdg4wkwy5v" w:id="33"/>
      <w:bookmarkEnd w:id="33"/>
      <w:r w:rsidDel="00000000" w:rsidR="00000000" w:rsidRPr="00000000">
        <w:rPr>
          <w:rtl w:val="0"/>
        </w:rPr>
        <w:t xml:space="preserve">9.2 Contrato de manutenção</w:t>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Informações de contacto do prestador</w:t>
            </w:r>
          </w:p>
        </w:tc>
        <w:tc>
          <w:tcPr>
            <w:shd w:fill="auto" w:val="clear"/>
            <w:tcMar>
              <w:top w:w="100.0" w:type="dxa"/>
              <w:left w:w="100.0" w:type="dxa"/>
              <w:bottom w:w="100.0" w:type="dxa"/>
              <w:right w:w="100.0" w:type="dxa"/>
            </w:tcM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Horário de funcionamento do prestador</w:t>
            </w:r>
          </w:p>
        </w:tc>
        <w:tc>
          <w:tcPr>
            <w:shd w:fill="auto" w:val="clear"/>
            <w:tcMar>
              <w:top w:w="100.0" w:type="dxa"/>
              <w:left w:w="100.0" w:type="dxa"/>
              <w:bottom w:w="100.0" w:type="dxa"/>
              <w:right w:w="100.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de início do contrato</w:t>
            </w:r>
          </w:p>
        </w:tc>
        <w:tc>
          <w:tcPr>
            <w:shd w:fill="auto" w:val="clear"/>
            <w:tcMar>
              <w:top w:w="100.0" w:type="dxa"/>
              <w:left w:w="100.0" w:type="dxa"/>
              <w:bottom w:w="100.0" w:type="dxa"/>
              <w:right w:w="100.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de fim do contrato</w:t>
            </w:r>
          </w:p>
        </w:tc>
        <w:tc>
          <w:tcPr>
            <w:shd w:fill="auto" w:val="clear"/>
            <w:tcMar>
              <w:top w:w="100.0" w:type="dxa"/>
              <w:left w:w="100.0" w:type="dxa"/>
              <w:bottom w:w="100.0" w:type="dxa"/>
              <w:right w:w="100.0" w:type="dxa"/>
            </w:tcM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Custos incluídos</w:t>
            </w:r>
          </w:p>
        </w:tc>
        <w:tc>
          <w:tcPr>
            <w:shd w:fill="auto" w:val="clear"/>
            <w:tcMar>
              <w:top w:w="100.0" w:type="dxa"/>
              <w:left w:w="100.0" w:type="dxa"/>
              <w:bottom w:w="100.0" w:type="dxa"/>
              <w:right w:w="100.0" w:type="dxa"/>
            </w:tcM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Ex.: deslocações, alojamento, e despesas incidentais de técnicos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Frequência/Calendário de manutenção </w:t>
            </w:r>
          </w:p>
        </w:tc>
        <w:tc>
          <w:tcPr>
            <w:shd w:fill="auto" w:val="clear"/>
            <w:tcMar>
              <w:top w:w="100.0" w:type="dxa"/>
              <w:left w:w="100.0" w:type="dxa"/>
              <w:bottom w:w="100.0" w:type="dxa"/>
              <w:right w:w="100.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Ver </w:t>
            </w:r>
            <w:hyperlink w:anchor="_heading=h.34lshst91ca">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 I</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Quem é responsável por agendar as visitas? </w:t>
            </w:r>
          </w:p>
        </w:tc>
        <w:tc>
          <w:tcPr>
            <w:shd w:fill="auto" w:val="clear"/>
            <w:tcMar>
              <w:top w:w="100.0" w:type="dxa"/>
              <w:left w:w="100.0" w:type="dxa"/>
              <w:bottom w:w="100.0" w:type="dxa"/>
              <w:right w:w="100.0" w:type="dxa"/>
            </w:tcMa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Hospital/Prestador do serviço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é verificada a conclusão da manutenção? </w:t>
            </w:r>
          </w:p>
        </w:tc>
        <w:tc>
          <w:tcPr>
            <w:shd w:fill="auto" w:val="clear"/>
            <w:tcMar>
              <w:top w:w="100.0" w:type="dxa"/>
              <w:left w:w="100.0" w:type="dxa"/>
              <w:bottom w:w="100.0" w:type="dxa"/>
              <w:right w:w="100.0" w:type="dxa"/>
            </w:tcM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Operadores/Técnicos da estação convidados a observar a realização da assistência / Relatórios de manutenção detalhados com fotografias no prazo de ____ semanas após a intervenção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Quem é responsável pelo armazenamento e inventário dos consumíveis e das peças sobressalentes? </w:t>
            </w:r>
          </w:p>
        </w:tc>
        <w:tc>
          <w:tcPr>
            <w:shd w:fill="auto" w:val="clear"/>
            <w:tcMar>
              <w:top w:w="100.0" w:type="dxa"/>
              <w:left w:w="100.0" w:type="dxa"/>
              <w:bottom w:w="100.0" w:type="dxa"/>
              <w:right w:w="100.0" w:type="dxa"/>
            </w:tcM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[Nome do prestador]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 responder aos pedidos de assistência no prazo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______ horas/dias.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o prestador não responder dentro do prazo estipulado, o hospital deve proceder da seguinte forma: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contactar a empresa-mãe do prestador de serviços local e/ou apresentar uma queixa legal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pStyle w:val="Heading2"/>
        <w:rPr/>
      </w:pPr>
      <w:bookmarkStart w:colFirst="0" w:colLast="0" w:name="_heading=h.jzt8bj33j8bf" w:id="34"/>
      <w:bookmarkEnd w:id="34"/>
      <w:r w:rsidDel="00000000" w:rsidR="00000000" w:rsidRPr="00000000">
        <w:rPr>
          <w:rtl w:val="0"/>
        </w:rPr>
        <w:t xml:space="preserve">10. Cilindros de Oxigénio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cilindros de oxigénio devem ser manuseados com extremo cuidado devido aos riscos graves que representam em contextos de saúde. A gestão inadequada pode resultar em incêndio, ferimentos ou mesmo morte. O oxigénio alimenta a combustão, tornando perigosas até fontes de ignição menores na sua presença. Além disso, os cilindros contêm gás a alta pressão que pode causar ferimentos graves se for libertado de forma descontrolada, especialmente se a válvula for danificada. O peso e o tamanho também representam riscos físicos se não forem devidamente fixados. A consciencialização e o cumprimento rigoroso dos protocolos de manuseamento são essenciais para manter um ambiente seguro.</w:t>
      </w:r>
    </w:p>
    <w:p w:rsidR="00000000" w:rsidDel="00000000" w:rsidP="00000000" w:rsidRDefault="00000000" w:rsidRPr="00000000" w14:paraId="000001A1">
      <w:pPr>
        <w:pStyle w:val="Heading4"/>
        <w:jc w:val="left"/>
        <w:rPr/>
      </w:pPr>
      <w:bookmarkStart w:colFirst="0" w:colLast="0" w:name="_heading=h.zf38ozst3x43" w:id="35"/>
      <w:bookmarkEnd w:id="35"/>
      <w:r w:rsidDel="00000000" w:rsidR="00000000" w:rsidRPr="00000000">
        <w:rPr>
          <w:rtl w:val="0"/>
        </w:rPr>
      </w:r>
    </w:p>
    <w:p w:rsidR="00000000" w:rsidDel="00000000" w:rsidP="00000000" w:rsidRDefault="00000000" w:rsidRPr="00000000" w14:paraId="000001A2">
      <w:pPr>
        <w:pStyle w:val="Heading3"/>
        <w:rPr/>
      </w:pPr>
      <w:bookmarkStart w:colFirst="0" w:colLast="0" w:name="_heading=h.qca7pxfvgg5l" w:id="36"/>
      <w:bookmarkEnd w:id="36"/>
      <w:r w:rsidDel="00000000" w:rsidR="00000000" w:rsidRPr="00000000">
        <w:rPr>
          <w:rtl w:val="0"/>
        </w:rPr>
        <w:t xml:space="preserve">10.1 Manuseamento dos cilindros de oxigénio</w:t>
      </w:r>
    </w:p>
    <w:p w:rsidR="00000000" w:rsidDel="00000000" w:rsidP="00000000" w:rsidRDefault="00000000" w:rsidRPr="00000000" w14:paraId="000001A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cilindros e recipientes devem estar sempre fixos com corrente, cinta, suporte ou outro dispositivo adequado. Para cilindros compósitos, utilizar cintas não abrasivas.</w:t>
      </w:r>
    </w:p>
    <w:p w:rsidR="00000000" w:rsidDel="00000000" w:rsidP="00000000" w:rsidRDefault="00000000" w:rsidRPr="00000000" w14:paraId="000001A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Nunca forçar ligações que não encaixem. O uso de adaptadores ou válvulas incorretas pode resultar em ligações perigosas, conduzindo a ferimentos/morte, danos no equipamento ou libertação descontrolada do produto.</w:t>
      </w:r>
    </w:p>
    <w:p w:rsidR="00000000" w:rsidDel="00000000" w:rsidP="00000000" w:rsidRDefault="00000000" w:rsidRPr="00000000" w14:paraId="000001A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padrão nacional de válvula é 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British Standard (Bullnose BS341).</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ligar o equipamento, orientar a saída da válvula para longe das pessoas e abrir a válvula lentamente. </w:t>
      </w:r>
    </w:p>
    <w:p w:rsidR="00000000" w:rsidDel="00000000" w:rsidP="00000000" w:rsidRDefault="00000000" w:rsidRPr="00000000" w14:paraId="000001A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 ser utilizado equipamento de proteção individual, como proteção ocular e manual, durante o manuseamento dos cilindros de oxigénio.</w:t>
      </w:r>
    </w:p>
    <w:p w:rsidR="00000000" w:rsidDel="00000000" w:rsidP="00000000" w:rsidRDefault="00000000" w:rsidRPr="00000000" w14:paraId="000001A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Todas as ferramentas, acessórios e luvas utilizadas em conjunto com cilindros de oxigénio devem estar limpas e isentas de óleo.</w:t>
      </w:r>
    </w:p>
    <w:p w:rsidR="00000000" w:rsidDel="00000000" w:rsidP="00000000" w:rsidRDefault="00000000" w:rsidRPr="00000000" w14:paraId="000001A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um cilindro estiver potencialmente danificado, deve ser retirado de circulação e inspecionado e testado de acordo com as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normas nacionais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ver Secção 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1AC">
      <w:pPr>
        <w:pStyle w:val="Heading3"/>
        <w:rPr/>
      </w:pPr>
      <w:bookmarkStart w:colFirst="0" w:colLast="0" w:name="_heading=h.3o72xlfl9sdp" w:id="37"/>
      <w:bookmarkEnd w:id="37"/>
      <w:r w:rsidDel="00000000" w:rsidR="00000000" w:rsidRPr="00000000">
        <w:rPr>
          <w:rtl w:val="0"/>
        </w:rPr>
        <w:t xml:space="preserve">10.2 Armazenamento dos cilindros de oxigénio</w:t>
      </w:r>
    </w:p>
    <w:p w:rsidR="00000000" w:rsidDel="00000000" w:rsidP="00000000" w:rsidRDefault="00000000" w:rsidRPr="00000000" w14:paraId="000001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Os cilindros devem ser mantidos na posição vertical e devidamente fixos.</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Os cilindros de oxigénio devem ser armazenados separadamente de todos os outros gases e organizados de acordo com o seu estado (cheios ou vazios).</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As tampas de proteção devem permanecer colocadas nos cilindros sempre que os cilindros não estiverem em utilização.</w:t>
      </w:r>
    </w:p>
    <w:p w:rsidR="00000000" w:rsidDel="00000000" w:rsidP="00000000" w:rsidRDefault="00000000" w:rsidRPr="00000000" w14:paraId="000001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Quando vários cilindros forem agrupados, recomenda-se que sejam fixados em suportes com correntes ou cintas, ou armazenados de forma encostada, garantindo sempre três pontos de contacto.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Mesmo no armazenamento encostado, é necessário o uso de correntes ou cintas para assegurar a fixação.</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Os cilindros devem ser colocados apenas em pavimentos ou plataformas planas.</w:t>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O local de armazenamento deve ser bem ventilado, sem exposição a temperaturas ou níveis de humidade extremos. Fontes de ignição devem ser mantidas a pelo menos 5 metros da área de armazenamento.</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B4">
      <w:pPr>
        <w:pStyle w:val="Heading3"/>
        <w:rPr/>
      </w:pPr>
      <w:bookmarkStart w:colFirst="0" w:colLast="0" w:name="_heading=h.ozdmbi1tjrsy" w:id="38"/>
      <w:bookmarkEnd w:id="38"/>
      <w:r w:rsidDel="00000000" w:rsidR="00000000" w:rsidRPr="00000000">
        <w:rPr>
          <w:rtl w:val="0"/>
        </w:rPr>
        <w:t xml:space="preserve">10.3 Transporte terrestre dos cilindros de oxigénio</w:t>
      </w:r>
    </w:p>
    <w:p w:rsidR="00000000" w:rsidDel="00000000" w:rsidP="00000000" w:rsidRDefault="00000000" w:rsidRPr="00000000" w14:paraId="000001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movimentar cilindros, deve-se garantir que as válvulas estão fechadas, as proteções das válvulas colocadas, e que os cilindros estão devidamente seguros, sendo transportados na posição vertical, com a válvula voltada para cima.</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Devem ser utilizados carrinhos próprios para cilindros ou outros dispositivos mecânicos de elevação para a sua movimentação. Fixar os cilindros num carro próprio com corrente e deslocá-los para o novo local. No caso de levantamento com equipamento mecânico, utilizar plataformas ou suportes que mantenham os cilindros na posição vertical e fixos. Deve ser manuseado apenas um cilindro de cada vez, exceto se for utilizado um carro concebido para transportar mais de um cilindro.</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Evitar deixar cair, rolar ou arrastar cilindros. Não permitir que os cilindros tombem ou choquem contra superfícies ou outros objetos. Nunca levantar os cilindros pela tampa da válvula.</w:t>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sempre os cilindros fixos na posição vertical, com a válvula voltada para cima, para evitar movimentos. Os cilindros não devem deslocar-se entre si nem relativamente à estrutura de suporte.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pStyle w:val="Heading3"/>
        <w:rPr/>
      </w:pPr>
      <w:bookmarkStart w:colFirst="0" w:colLast="0" w:name="_heading=h.10a4mu2vwxz8" w:id="39"/>
      <w:bookmarkEnd w:id="39"/>
      <w:r w:rsidDel="00000000" w:rsidR="00000000" w:rsidRPr="00000000">
        <w:rPr>
          <w:rtl w:val="0"/>
        </w:rPr>
        <w:t xml:space="preserve">10.4 Transporte dos cilindros de oxigénio em veículos</w:t>
      </w:r>
    </w:p>
    <w:p w:rsidR="00000000" w:rsidDel="00000000" w:rsidP="00000000" w:rsidRDefault="00000000" w:rsidRPr="00000000" w14:paraId="000001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transporte em veículos, todos os cilindros devem ser transportados na posição vertical, em compartimento separado do condutor.</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cilindros devem ser fixados no veículo ou atrelado para evitar movimentos durante o transporte. Não devem deslocar-se entre si nem relativamente à estrutura de suporte.</w:t>
      </w:r>
    </w:p>
    <w:p w:rsidR="00000000" w:rsidDel="00000000" w:rsidP="00000000" w:rsidRDefault="00000000" w:rsidRPr="00000000" w14:paraId="000001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veículos devem apresentar sinalização adequada com indicações de perigo, palavras de advertência e pictogramas, de acordo com os regulamentos locais para o transporte de gases comprimidos inflamáveis.</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pStyle w:val="Heading2"/>
        <w:rPr/>
      </w:pPr>
      <w:bookmarkStart w:colFirst="0" w:colLast="0" w:name="_heading=h.ciz1ql32k88j" w:id="40"/>
      <w:bookmarkEnd w:id="40"/>
      <w:r w:rsidDel="00000000" w:rsidR="00000000" w:rsidRPr="00000000">
        <w:rPr>
          <w:rtl w:val="0"/>
        </w:rPr>
        <w:t xml:space="preserve">11. Ferramentas</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operação e manutenção de uma estação de oxigénio requerem a utilização de ferramentas adequadas para garantir segurança, eficiência e longevidade do equipamento. A utilização das ferramentas corretas ajuda a prevenir danos em componentes sensíveis, como válvulas, sensores e conexões, além de reduzir o risco de fugas de oxigénio ou contaminação. Quando se trabalha no lado do oxigénio da estação, só devem ser utilizadas ferramentas limpas, antifaísca, sem óleo, a fim de evitar riscos de incêndio. 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operadores da estação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devem assegurar que todas as ferramentas estão bem conservadas, facilmente acessíveis e utilizadas estritamente de acordo com as orientações do fabricante. Os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operadores da estação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devem manter as ferramentas guardadas em segurança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local]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realizar o inventário das mesmas a cada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frequência]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Uma lista das ferramentas da estação de oxigénio fornecidas para uso exclusivo na mesma encontra-se no </w:t>
      </w:r>
      <w:hyperlink w:anchor="_heading=h.b0yis93ehtm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uma lista das ferramentas para oxigénio fornecidas exclusivamente para o compressor auxiliar de enchimento de cilindros encontra-se 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anchor="_heading=h.4yf1224s265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As listas de ferramentas anexas (</w:t>
      </w:r>
      <w:hyperlink w:anchor="_heading=h.b0yis93ehtmg">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Anexos G e H</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correspondem às recomendações da BHI para estações de PSA. Estas listas devem ser ajustadas de acordo com o tipo de estação, as recomendações específicas do fabricante e o material que tiver sido efetivamente fornecido aos operadores da estação.</w:t>
      </w:r>
      <w:r w:rsidDel="00000000" w:rsidR="00000000" w:rsidRPr="00000000">
        <w:rPr>
          <w:rtl w:val="0"/>
        </w:rPr>
      </w:r>
    </w:p>
    <w:p w:rsidR="00000000" w:rsidDel="00000000" w:rsidP="00000000" w:rsidRDefault="00000000" w:rsidRPr="00000000" w14:paraId="000001C4">
      <w:pPr>
        <w:pStyle w:val="Heading2"/>
        <w:rPr>
          <w:shd w:fill="f4cccc" w:val="clear"/>
        </w:rPr>
      </w:pPr>
      <w:bookmarkStart w:colFirst="0" w:colLast="0" w:name="_heading=h.t4xdtz290od8" w:id="41"/>
      <w:bookmarkEnd w:id="41"/>
      <w:r w:rsidDel="00000000" w:rsidR="00000000" w:rsidRPr="00000000">
        <w:rPr>
          <w:rtl w:val="0"/>
        </w:rPr>
        <w:t xml:space="preserve">12. Peças Sobressalentes</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fundamental manter peças sobressalentes disponíveis para assegurar reparações atempadas e a manutenção preventiva. Esta prática reduz o tempo de paragem do equipamento e garante um fornecimento fiável de oxigénio ao hospital. Se a gestão das peças sobressalentes não estiver a cargo de um prestador de serviços, é essencial que sejam mantidas em inventário peças equivalentes 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horas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funcionamento (cerca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anos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pelo hospital OU pelo Ministério da Saúde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local]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Esta lista de peças sobressalentes é baseada nas recomendações de manutenção preventiva constantes dos manuais do equipamento e pode ser consultada no </w:t>
      </w:r>
      <w:hyperlink w:anchor="_heading=h.cq8u1ylmwos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armazenamento das peças deve respeitar as recomendações do fabricante, dentro do intervalo de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ºC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XX</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 de humidade.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Algumas peças e consumíveis têm prazo de validade limitado e devem ser devidamente registados na documentação de inventário. É responsabilidade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do hospital OU do Ministério da Saúde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manter o inventário atualizado de forma contínua e efetuar novas encomendas de peças sobressalentes antes de ocorrer rutura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stock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inventário mínimo obrigatório de peças sobressalentes da estação pode ser encontrado no </w:t>
      </w:r>
      <w:hyperlink w:anchor="_heading=h.cq8u1ylmwos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Anexo J</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f4cccc"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Deve ser elaborada uma lista de peças sobressalentes mínimas obrigatórias para, pelo menos, dois anos. Com base no plano operacional da estação de oxigénio, deve calcular-se o número equivalente de horas de funcionamento que o equipamento atingirá nesse período. Em seguida, com base nos planos de manutenção constantes nos manuais do equipamento, podem ser identificadas as peças e os consumíveis necessários para realizar todas as manutenções previstas dentro das horas de funcionamento planeadas, referenciando essa lista como anexo. Podem ainda ser acrescentadas peças adicionais que sejam mais suscetíveis a avarias, de forma a minimizar ao máximo os tempos de paragem para reparação. </w:t>
      </w:r>
      <w:hyperlink r:id="rId18">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Este documento orientador</w:t>
        </w:r>
      </w:hyperlink>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 pode ajudar na aquisição e gestão das peças sobressalentes e dos consumíveis.</w:t>
      </w:r>
    </w:p>
    <w:p w:rsidR="00000000" w:rsidDel="00000000" w:rsidP="00000000" w:rsidRDefault="00000000" w:rsidRPr="00000000" w14:paraId="000001C9">
      <w:pPr>
        <w:pStyle w:val="Heading2"/>
        <w:rPr/>
      </w:pPr>
      <w:bookmarkStart w:colFirst="0" w:colLast="0" w:name="_heading=h.gyi1bfl3r5h8" w:id="42"/>
      <w:bookmarkEnd w:id="42"/>
      <w:r w:rsidDel="00000000" w:rsidR="00000000" w:rsidRPr="00000000">
        <w:rPr>
          <w:rtl w:val="0"/>
        </w:rPr>
      </w:r>
    </w:p>
    <w:p w:rsidR="00000000" w:rsidDel="00000000" w:rsidP="00000000" w:rsidRDefault="00000000" w:rsidRPr="00000000" w14:paraId="000001CA">
      <w:pPr>
        <w:pStyle w:val="Heading2"/>
        <w:rPr/>
      </w:pPr>
      <w:bookmarkStart w:colFirst="0" w:colLast="0" w:name="_heading=h.pdzfwz4r9p2q" w:id="43"/>
      <w:bookmarkEnd w:id="43"/>
      <w:r w:rsidDel="00000000" w:rsidR="00000000" w:rsidRPr="00000000">
        <w:rPr>
          <w:rtl w:val="0"/>
        </w:rPr>
        <w:t xml:space="preserve">13. Segurança da Estação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a segurança física da estação de oxigénio é essencial para garantir uma operação segura, contínua e fiável. O acesso não autorizado ou qualquer manipulação indevida pode causar danos ao equipamento, interrupções no fornecimento de oxigénio ou riscos de segurança.</w:t>
      </w:r>
    </w:p>
    <w:p w:rsidR="00000000" w:rsidDel="00000000" w:rsidP="00000000" w:rsidRDefault="00000000" w:rsidRPr="00000000" w14:paraId="000001CD">
      <w:pPr>
        <w:pStyle w:val="Heading4"/>
        <w:keepNext w:val="0"/>
        <w:keepLines w:val="0"/>
        <w:jc w:val="left"/>
        <w:rPr/>
      </w:pPr>
      <w:bookmarkStart w:colFirst="0" w:colLast="0" w:name="_heading=h.jvqyu7q4zyne" w:id="44"/>
      <w:bookmarkEnd w:id="44"/>
      <w:r w:rsidDel="00000000" w:rsidR="00000000" w:rsidRPr="00000000">
        <w:rPr>
          <w:rtl w:val="0"/>
        </w:rPr>
      </w:r>
    </w:p>
    <w:p w:rsidR="00000000" w:rsidDel="00000000" w:rsidP="00000000" w:rsidRDefault="00000000" w:rsidRPr="00000000" w14:paraId="000001CE">
      <w:pPr>
        <w:pStyle w:val="Heading3"/>
        <w:rPr/>
      </w:pPr>
      <w:bookmarkStart w:colFirst="0" w:colLast="0" w:name="_heading=h.4syquvyc9nzt" w:id="45"/>
      <w:bookmarkEnd w:id="45"/>
      <w:r w:rsidDel="00000000" w:rsidR="00000000" w:rsidRPr="00000000">
        <w:rPr>
          <w:rtl w:val="0"/>
        </w:rPr>
        <w:t xml:space="preserve">13.1 Acesso restrito</w:t>
      </w:r>
    </w:p>
    <w:p w:rsidR="00000000" w:rsidDel="00000000" w:rsidP="00000000" w:rsidRDefault="00000000" w:rsidRPr="00000000" w14:paraId="000001CF">
      <w:pPr>
        <w:numPr>
          <w:ilvl w:val="0"/>
          <w:numId w:val="4"/>
        </w:numPr>
        <w:spacing w:after="0" w:line="240" w:lineRule="auto"/>
        <w:ind w:left="720" w:hanging="360"/>
        <w:rPr>
          <w:sz w:val="22"/>
          <w:szCs w:val="22"/>
        </w:rPr>
      </w:pPr>
      <w:r w:rsidDel="00000000" w:rsidR="00000000" w:rsidRPr="00000000">
        <w:rPr>
          <w:sz w:val="22"/>
          <w:szCs w:val="22"/>
          <w:rtl w:val="0"/>
        </w:rPr>
        <w:t xml:space="preserve">A estação de oxigénio deve permanecer trancada sempre que não esteja sob vigilância ativa.</w:t>
      </w:r>
    </w:p>
    <w:p w:rsidR="00000000" w:rsidDel="00000000" w:rsidP="00000000" w:rsidRDefault="00000000" w:rsidRPr="00000000" w14:paraId="000001D0">
      <w:pPr>
        <w:numPr>
          <w:ilvl w:val="0"/>
          <w:numId w:val="4"/>
        </w:numPr>
        <w:spacing w:after="0" w:line="240" w:lineRule="auto"/>
        <w:ind w:left="720" w:hanging="360"/>
        <w:rPr>
          <w:sz w:val="22"/>
          <w:szCs w:val="22"/>
        </w:rPr>
      </w:pPr>
      <w:r w:rsidDel="00000000" w:rsidR="00000000" w:rsidRPr="00000000">
        <w:rPr>
          <w:sz w:val="22"/>
          <w:szCs w:val="22"/>
          <w:rtl w:val="0"/>
        </w:rPr>
        <w:t xml:space="preserve">O acesso deve ser restrito apenas a pessoal autorizado. O pessoal autorizado inclui </w:t>
      </w:r>
      <w:r w:rsidDel="00000000" w:rsidR="00000000" w:rsidRPr="00000000">
        <w:rPr>
          <w:sz w:val="22"/>
          <w:szCs w:val="22"/>
          <w:highlight w:val="yellow"/>
          <w:rtl w:val="0"/>
        </w:rPr>
        <w:t xml:space="preserve">os operadores da estação, os técnicos de manutenção e o pessoal de supervisão designado</w:t>
      </w:r>
      <w:r w:rsidDel="00000000" w:rsidR="00000000" w:rsidRPr="00000000">
        <w:rPr>
          <w:sz w:val="22"/>
          <w:szCs w:val="22"/>
          <w:rtl w:val="0"/>
        </w:rPr>
        <w:t xml:space="preserve">.</w:t>
      </w:r>
    </w:p>
    <w:p w:rsidR="00000000" w:rsidDel="00000000" w:rsidP="00000000" w:rsidRDefault="00000000" w:rsidRPr="00000000" w14:paraId="000001D1">
      <w:pPr>
        <w:numPr>
          <w:ilvl w:val="0"/>
          <w:numId w:val="4"/>
        </w:numPr>
        <w:spacing w:after="0" w:line="240" w:lineRule="auto"/>
        <w:ind w:left="720" w:hanging="360"/>
        <w:rPr>
          <w:sz w:val="22"/>
          <w:szCs w:val="22"/>
        </w:rPr>
      </w:pPr>
      <w:r w:rsidDel="00000000" w:rsidR="00000000" w:rsidRPr="00000000">
        <w:rPr>
          <w:sz w:val="22"/>
          <w:szCs w:val="22"/>
          <w:rtl w:val="0"/>
        </w:rPr>
        <w:t xml:space="preserve">Deve ser mantida e atualizada regularmente, pela administração da unidade, uma lista de pessoal autorizado.</w:t>
      </w:r>
    </w:p>
    <w:p w:rsidR="00000000" w:rsidDel="00000000" w:rsidP="00000000" w:rsidRDefault="00000000" w:rsidRPr="00000000" w14:paraId="00000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Qualquer visitante que necessite de aceder à estação de oxigénio (por exemplo, empreiteiros, inspetores) deve ser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acompanhado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pessoal autorizado. Considere-se a possibilidade de exigir que os visitantes assinem um registo contendo a data, o propósito da visita e a assinatura. Recomenda-se vivamente a realização de uma breve sessão de segurança antes da entrada na área da estação.</w:t>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restrição do acesso deve aplicar-se também ao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stock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ferramentas e peças sobressalentes da estação de oxigénio.</w:t>
      </w:r>
    </w:p>
    <w:p w:rsidR="00000000" w:rsidDel="00000000" w:rsidP="00000000" w:rsidRDefault="00000000" w:rsidRPr="00000000" w14:paraId="000001D4">
      <w:pPr>
        <w:pStyle w:val="Heading4"/>
        <w:keepNext w:val="0"/>
        <w:keepLines w:val="0"/>
        <w:jc w:val="left"/>
        <w:rPr/>
      </w:pPr>
      <w:bookmarkStart w:colFirst="0" w:colLast="0" w:name="_heading=h.j0t97w17epu2" w:id="46"/>
      <w:bookmarkEnd w:id="46"/>
      <w:r w:rsidDel="00000000" w:rsidR="00000000" w:rsidRPr="00000000">
        <w:rPr>
          <w:rtl w:val="0"/>
        </w:rPr>
      </w:r>
    </w:p>
    <w:p w:rsidR="00000000" w:rsidDel="00000000" w:rsidP="00000000" w:rsidRDefault="00000000" w:rsidRPr="00000000" w14:paraId="000001D5">
      <w:pPr>
        <w:pStyle w:val="Heading3"/>
        <w:rPr/>
      </w:pPr>
      <w:bookmarkStart w:colFirst="0" w:colLast="0" w:name="_heading=h.284c3fhofhjj" w:id="47"/>
      <w:bookmarkEnd w:id="47"/>
      <w:r w:rsidDel="00000000" w:rsidR="00000000" w:rsidRPr="00000000">
        <w:rPr>
          <w:rtl w:val="0"/>
        </w:rPr>
        <w:t xml:space="preserve">13.2 Perímetro de segurança</w:t>
      </w:r>
    </w:p>
    <w:p w:rsidR="00000000" w:rsidDel="00000000" w:rsidP="00000000" w:rsidRDefault="00000000" w:rsidRPr="00000000" w14:paraId="000001D6">
      <w:pPr>
        <w:numPr>
          <w:ilvl w:val="0"/>
          <w:numId w:val="28"/>
        </w:numPr>
        <w:spacing w:after="0" w:line="240" w:lineRule="auto"/>
        <w:ind w:left="720" w:hanging="360"/>
        <w:rPr>
          <w:sz w:val="22"/>
          <w:szCs w:val="22"/>
        </w:rPr>
      </w:pPr>
      <w:r w:rsidDel="00000000" w:rsidR="00000000" w:rsidRPr="00000000">
        <w:rPr>
          <w:sz w:val="22"/>
          <w:szCs w:val="22"/>
          <w:rtl w:val="0"/>
        </w:rPr>
        <w:t xml:space="preserve">A área da estação deve estar delimitada por um perímetro seguro, como uma vedação ou muro, com portão com tranca.</w:t>
      </w:r>
    </w:p>
    <w:p w:rsidR="00000000" w:rsidDel="00000000" w:rsidP="00000000" w:rsidRDefault="00000000" w:rsidRPr="00000000" w14:paraId="000001D7">
      <w:pPr>
        <w:numPr>
          <w:ilvl w:val="0"/>
          <w:numId w:val="28"/>
        </w:numPr>
        <w:spacing w:after="0" w:line="240" w:lineRule="auto"/>
        <w:ind w:left="720" w:hanging="360"/>
        <w:rPr>
          <w:sz w:val="22"/>
          <w:szCs w:val="22"/>
        </w:rPr>
      </w:pPr>
      <w:r w:rsidDel="00000000" w:rsidR="00000000" w:rsidRPr="00000000">
        <w:rPr>
          <w:sz w:val="22"/>
          <w:szCs w:val="22"/>
          <w:rtl w:val="0"/>
        </w:rPr>
        <w:t xml:space="preserve">O perímetro deve ser inspecionado diariamente para detetar sinais de danos, acessos não autorizados ou obstruções.</w:t>
      </w:r>
    </w:p>
    <w:p w:rsidR="00000000" w:rsidDel="00000000" w:rsidP="00000000" w:rsidRDefault="00000000" w:rsidRPr="00000000" w14:paraId="000001D8">
      <w:pPr>
        <w:numPr>
          <w:ilvl w:val="0"/>
          <w:numId w:val="27"/>
        </w:numPr>
        <w:spacing w:after="0" w:line="240" w:lineRule="auto"/>
        <w:ind w:left="720" w:hanging="360"/>
        <w:rPr>
          <w:sz w:val="22"/>
          <w:szCs w:val="22"/>
        </w:rPr>
      </w:pPr>
      <w:r w:rsidDel="00000000" w:rsidR="00000000" w:rsidRPr="00000000">
        <w:rPr>
          <w:sz w:val="22"/>
          <w:szCs w:val="22"/>
          <w:rtl w:val="0"/>
        </w:rPr>
        <w:t xml:space="preserve">Sempre que possível, devem ser instaladas câmaras de vigilância e iluminação para monitorizar a entrada da estação e a área circundante.</w:t>
      </w:r>
    </w:p>
    <w:p w:rsidR="00000000" w:rsidDel="00000000" w:rsidP="00000000" w:rsidRDefault="00000000" w:rsidRPr="00000000" w14:paraId="000001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Qualquer falha de segurança, tentativa de acesso não autorizado ou atividade suspeita deve ser reportada imediatamente à administração da unidade e registada no diário de operações da estação. Devem ser tomadas medidas corretivas sem demora para prevenir a reincidência.</w:t>
      </w:r>
    </w:p>
    <w:p w:rsidR="00000000" w:rsidDel="00000000" w:rsidP="00000000" w:rsidRDefault="00000000" w:rsidRPr="00000000" w14:paraId="000001DA">
      <w:pPr>
        <w:pStyle w:val="Heading2"/>
        <w:rPr/>
      </w:pPr>
      <w:bookmarkStart w:colFirst="0" w:colLast="0" w:name="_heading=h.fzvtrdyowufm" w:id="48"/>
      <w:bookmarkEnd w:id="48"/>
      <w:r w:rsidDel="00000000" w:rsidR="00000000" w:rsidRPr="00000000">
        <w:rPr>
          <w:rtl w:val="0"/>
        </w:rPr>
      </w:r>
    </w:p>
    <w:p w:rsidR="00000000" w:rsidDel="00000000" w:rsidP="00000000" w:rsidRDefault="00000000" w:rsidRPr="00000000" w14:paraId="000001DB">
      <w:pPr>
        <w:pStyle w:val="Heading2"/>
        <w:rPr/>
      </w:pPr>
      <w:bookmarkStart w:colFirst="0" w:colLast="0" w:name="_heading=h.6syzbw1z42xx" w:id="49"/>
      <w:bookmarkEnd w:id="49"/>
      <w:r w:rsidDel="00000000" w:rsidR="00000000" w:rsidRPr="00000000">
        <w:rPr>
          <w:rtl w:val="0"/>
        </w:rPr>
        <w:t xml:space="preserve">14. Requisitos Regulatórios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garantir a segurança, a qualidade e o desempenho consistentes do oxigénio produzido pela estação, as atividades de Garantia da Qualidade (GQ) devem estar alinhadas com as normas nacionais e com as orientações da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entidade reguladora local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objetivo da GQ é assegurar que o oxigénio medicinal cumpra as especificações exigidas quanto à identidade, pureza e qualidade, e que seja produzido em condições controladas e verificáveis.</w:t>
      </w:r>
    </w:p>
    <w:p w:rsidR="00000000" w:rsidDel="00000000" w:rsidP="00000000" w:rsidRDefault="00000000" w:rsidRPr="00000000" w14:paraId="000001DE">
      <w:pPr>
        <w:pStyle w:val="Heading4"/>
        <w:keepNext w:val="0"/>
        <w:keepLines w:val="0"/>
        <w:jc w:val="left"/>
        <w:rPr/>
      </w:pPr>
      <w:bookmarkStart w:colFirst="0" w:colLast="0" w:name="_heading=h.tyx2dkndjxl6" w:id="50"/>
      <w:bookmarkEnd w:id="50"/>
      <w:r w:rsidDel="00000000" w:rsidR="00000000" w:rsidRPr="00000000">
        <w:rPr>
          <w:rtl w:val="0"/>
        </w:rPr>
      </w:r>
    </w:p>
    <w:p w:rsidR="00000000" w:rsidDel="00000000" w:rsidP="00000000" w:rsidRDefault="00000000" w:rsidRPr="00000000" w14:paraId="000001DF">
      <w:pPr>
        <w:pStyle w:val="Heading3"/>
        <w:rPr/>
      </w:pPr>
      <w:bookmarkStart w:colFirst="0" w:colLast="0" w:name="_heading=h.42oxs24ieapm" w:id="51"/>
      <w:bookmarkEnd w:id="51"/>
      <w:r w:rsidDel="00000000" w:rsidR="00000000" w:rsidRPr="00000000">
        <w:rPr>
          <w:rtl w:val="0"/>
        </w:rPr>
        <w:t xml:space="preserve">14.1 Ações de GQ de rotina</w:t>
      </w:r>
    </w:p>
    <w:p w:rsidR="00000000" w:rsidDel="00000000" w:rsidP="00000000" w:rsidRDefault="00000000" w:rsidRPr="00000000" w14:paraId="000001E0">
      <w:pPr>
        <w:spacing w:after="0" w:line="240" w:lineRule="auto"/>
        <w:rPr>
          <w:sz w:val="22"/>
          <w:szCs w:val="22"/>
        </w:rPr>
      </w:pPr>
      <w:r w:rsidDel="00000000" w:rsidR="00000000" w:rsidRPr="00000000">
        <w:rPr>
          <w:sz w:val="22"/>
          <w:szCs w:val="22"/>
          <w:rtl w:val="0"/>
        </w:rPr>
        <w:t xml:space="preserve">As seguintes atividades devem ser realizadas regularmente como parte da GQ operacional:</w:t>
      </w:r>
    </w:p>
    <w:p w:rsidR="00000000" w:rsidDel="00000000" w:rsidP="00000000" w:rsidRDefault="00000000" w:rsidRPr="00000000" w14:paraId="000001E1">
      <w:pPr>
        <w:numPr>
          <w:ilvl w:val="0"/>
          <w:numId w:val="26"/>
        </w:numPr>
        <w:spacing w:after="0" w:line="240" w:lineRule="auto"/>
        <w:ind w:left="720" w:hanging="360"/>
        <w:rPr>
          <w:sz w:val="22"/>
          <w:szCs w:val="22"/>
        </w:rPr>
      </w:pPr>
      <w:r w:rsidDel="00000000" w:rsidR="00000000" w:rsidRPr="00000000">
        <w:rPr>
          <w:sz w:val="22"/>
          <w:szCs w:val="22"/>
          <w:rtl w:val="0"/>
        </w:rPr>
        <w:t xml:space="preserve">Teste de pureza do oxigénio (incluído na Lista de Verificação Diária)</w:t>
      </w:r>
    </w:p>
    <w:p w:rsidR="00000000" w:rsidDel="00000000" w:rsidP="00000000" w:rsidRDefault="00000000" w:rsidRPr="00000000" w14:paraId="000001E2">
      <w:pPr>
        <w:numPr>
          <w:ilvl w:val="1"/>
          <w:numId w:val="26"/>
        </w:numPr>
        <w:spacing w:after="0" w:line="240" w:lineRule="auto"/>
        <w:ind w:left="1440" w:hanging="360"/>
        <w:rPr>
          <w:sz w:val="22"/>
          <w:szCs w:val="22"/>
        </w:rPr>
      </w:pPr>
      <w:r w:rsidDel="00000000" w:rsidR="00000000" w:rsidRPr="00000000">
        <w:rPr>
          <w:sz w:val="22"/>
          <w:szCs w:val="22"/>
          <w:rtl w:val="0"/>
        </w:rPr>
        <w:t xml:space="preserve">Medir e registar a pureza do oxigénio utilizando um analisador calibrado.</w:t>
      </w:r>
    </w:p>
    <w:p w:rsidR="00000000" w:rsidDel="00000000" w:rsidP="00000000" w:rsidRDefault="00000000" w:rsidRPr="00000000" w14:paraId="000001E3">
      <w:pPr>
        <w:numPr>
          <w:ilvl w:val="1"/>
          <w:numId w:val="26"/>
        </w:numPr>
        <w:spacing w:after="0" w:line="240" w:lineRule="auto"/>
        <w:ind w:left="1440" w:hanging="360"/>
        <w:rPr>
          <w:sz w:val="22"/>
          <w:szCs w:val="22"/>
        </w:rPr>
      </w:pPr>
      <w:r w:rsidDel="00000000" w:rsidR="00000000" w:rsidRPr="00000000">
        <w:rPr>
          <w:sz w:val="22"/>
          <w:szCs w:val="22"/>
          <w:rtl w:val="0"/>
        </w:rPr>
        <w:t xml:space="preserve">Frequência: Pelo menos diariamente, antes da utilização, e após qualquer desligamento ou intervenção de manutenção.</w:t>
      </w:r>
    </w:p>
    <w:p w:rsidR="00000000" w:rsidDel="00000000" w:rsidP="00000000" w:rsidRDefault="00000000" w:rsidRPr="00000000" w14:paraId="000001E4">
      <w:pPr>
        <w:numPr>
          <w:ilvl w:val="1"/>
          <w:numId w:val="26"/>
        </w:numPr>
        <w:spacing w:after="0" w:line="240" w:lineRule="auto"/>
        <w:ind w:left="1440" w:hanging="360"/>
        <w:rPr>
          <w:i w:val="1"/>
          <w:sz w:val="22"/>
          <w:szCs w:val="22"/>
        </w:rPr>
      </w:pPr>
      <w:r w:rsidDel="00000000" w:rsidR="00000000" w:rsidRPr="00000000">
        <w:rPr>
          <w:sz w:val="22"/>
          <w:szCs w:val="22"/>
          <w:rtl w:val="0"/>
        </w:rPr>
        <w:t xml:space="preserve">Limite aceitável de pureza: </w:t>
      </w:r>
      <w:r w:rsidDel="00000000" w:rsidR="00000000" w:rsidRPr="00000000">
        <w:rPr>
          <w:i w:val="1"/>
          <w:sz w:val="22"/>
          <w:szCs w:val="22"/>
          <w:highlight w:val="yellow"/>
          <w:rtl w:val="0"/>
        </w:rPr>
        <w:t xml:space="preserve">[Ajustar de acordo com a farmacopeia nacional ou autoridade reguladora]</w:t>
      </w:r>
      <w:sdt>
        <w:sdtPr>
          <w:id w:val="-1929057559"/>
          <w:tag w:val="goog_rdk_0"/>
        </w:sdtPr>
        <w:sdtContent>
          <w:r w:rsidDel="00000000" w:rsidR="00000000" w:rsidRPr="00000000">
            <w:rPr>
              <w:rFonts w:ascii="Arial Unicode MS" w:cs="Arial Unicode MS" w:eastAsia="Arial Unicode MS" w:hAnsi="Arial Unicode MS"/>
              <w:i w:val="1"/>
              <w:sz w:val="22"/>
              <w:szCs w:val="22"/>
              <w:highlight w:val="yellow"/>
              <w:rtl w:val="0"/>
            </w:rPr>
            <w:t xml:space="preserve"> (geralmente, ≥90% para oxigénio medicinal USP/Ph. Int.)</w:t>
          </w:r>
        </w:sdtContent>
      </w:sdt>
      <w:r w:rsidDel="00000000" w:rsidR="00000000" w:rsidRPr="00000000">
        <w:rPr>
          <w:rFonts w:ascii="Arimo" w:cs="Arimo" w:eastAsia="Arimo" w:hAnsi="Arimo"/>
          <w:i w:val="1"/>
          <w:sz w:val="22"/>
          <w:szCs w:val="22"/>
          <w:rtl w:val="0"/>
        </w:rPr>
        <w:t xml:space="preserve">.</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sdt>
        <w:sdtPr>
          <w:id w:val="-836711304"/>
          <w:tag w:val="goog_rdk_1"/>
        </w:sdtPr>
        <w:sdtContent>
          <w:r w:rsidDel="00000000" w:rsidR="00000000" w:rsidRPr="00000000">
            <w:rPr>
              <w:rFonts w:ascii="Arial Unicode MS" w:cs="Arial Unicode MS" w:eastAsia="Arial Unicode MS" w:hAnsi="Arial Unicode MS"/>
              <w:b w:val="0"/>
              <w:i w:val="1"/>
              <w:smallCaps w:val="0"/>
              <w:strike w:val="0"/>
              <w:color w:val="0000ff"/>
              <w:sz w:val="22"/>
              <w:szCs w:val="22"/>
              <w:u w:val="none"/>
              <w:shd w:fill="auto" w:val="clear"/>
              <w:vertAlign w:val="baseline"/>
              <w:rtl w:val="0"/>
            </w:rPr>
            <w:t xml:space="preserve">Se a pureza descer abaixo do limite aceitável em ambos os analisadores (o do gerador de oxigénio e o portátil), os operadores da estação e os engenheiros biomédicos devem iniciar o processo de resolução do problema. Os operadores e a administração devem acordar qual é o limite de desligamento (por exemplo, este pode ser definido em 85%, mesmo que o requisito de pureza seja ≥90%).</w:t>
          </w:r>
        </w:sdtContent>
      </w:sdt>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E8">
      <w:pPr>
        <w:numPr>
          <w:ilvl w:val="0"/>
          <w:numId w:val="14"/>
        </w:numPr>
        <w:spacing w:after="0" w:line="240" w:lineRule="auto"/>
        <w:ind w:left="720" w:hanging="360"/>
        <w:rPr>
          <w:sz w:val="22"/>
          <w:szCs w:val="22"/>
        </w:rPr>
      </w:pPr>
      <w:r w:rsidDel="00000000" w:rsidR="00000000" w:rsidRPr="00000000">
        <w:rPr>
          <w:sz w:val="22"/>
          <w:szCs w:val="22"/>
          <w:rtl w:val="0"/>
        </w:rPr>
        <w:t xml:space="preserve">Teste de CO</w:t>
      </w:r>
      <w:r w:rsidDel="00000000" w:rsidR="00000000" w:rsidRPr="00000000">
        <w:rPr>
          <w:rFonts w:ascii="Cambria Math" w:cs="Cambria Math" w:eastAsia="Cambria Math" w:hAnsi="Cambria Math"/>
          <w:sz w:val="22"/>
          <w:szCs w:val="22"/>
          <w:rtl w:val="0"/>
        </w:rPr>
        <w:t xml:space="preserve">₂</w:t>
      </w:r>
      <w:r w:rsidDel="00000000" w:rsidR="00000000" w:rsidRPr="00000000">
        <w:rPr>
          <w:sz w:val="22"/>
          <w:szCs w:val="22"/>
          <w:rtl w:val="0"/>
        </w:rPr>
        <w:t xml:space="preserve"> e humidade</w:t>
      </w:r>
    </w:p>
    <w:p w:rsidR="00000000" w:rsidDel="00000000" w:rsidP="00000000" w:rsidRDefault="00000000" w:rsidRPr="00000000" w14:paraId="000001E9">
      <w:pPr>
        <w:numPr>
          <w:ilvl w:val="1"/>
          <w:numId w:val="14"/>
        </w:numPr>
        <w:spacing w:after="0" w:line="240" w:lineRule="auto"/>
        <w:ind w:left="1440" w:hanging="360"/>
        <w:rPr>
          <w:sz w:val="22"/>
          <w:szCs w:val="22"/>
        </w:rPr>
      </w:pPr>
      <w:r w:rsidDel="00000000" w:rsidR="00000000" w:rsidRPr="00000000">
        <w:rPr>
          <w:sz w:val="22"/>
          <w:szCs w:val="22"/>
          <w:rtl w:val="0"/>
        </w:rPr>
        <w:t xml:space="preserve">Sempre que possível, verificar periodicamente o dióxido de carbono (CO</w:t>
      </w:r>
      <w:r w:rsidDel="00000000" w:rsidR="00000000" w:rsidRPr="00000000">
        <w:rPr>
          <w:rFonts w:ascii="Cambria Math" w:cs="Cambria Math" w:eastAsia="Cambria Math" w:hAnsi="Cambria Math"/>
          <w:sz w:val="22"/>
          <w:szCs w:val="22"/>
          <w:rtl w:val="0"/>
        </w:rPr>
        <w:t xml:space="preserve">₂</w:t>
      </w:r>
      <w:r w:rsidDel="00000000" w:rsidR="00000000" w:rsidRPr="00000000">
        <w:rPr>
          <w:sz w:val="22"/>
          <w:szCs w:val="22"/>
          <w:rtl w:val="0"/>
        </w:rPr>
        <w:t xml:space="preserve">) e o ponto de orvalho/conteúdo de humidade para garantir que as impurezas se mantêm dentro dos limites aceitáveis.</w:t>
      </w:r>
    </w:p>
    <w:p w:rsidR="00000000" w:rsidDel="00000000" w:rsidP="00000000" w:rsidRDefault="00000000" w:rsidRPr="00000000" w14:paraId="000001E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Frequência: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[Ajustar de acordo com as orientações nacionais]</w:t>
      </w:r>
      <w:r w:rsidDel="00000000" w:rsidR="00000000" w:rsidRPr="00000000">
        <w:rPr>
          <w:rtl w:val="0"/>
        </w:rPr>
      </w:r>
    </w:p>
    <w:p w:rsidR="00000000" w:rsidDel="00000000" w:rsidP="00000000" w:rsidRDefault="00000000" w:rsidRPr="00000000" w14:paraId="000001EB">
      <w:pPr>
        <w:numPr>
          <w:ilvl w:val="0"/>
          <w:numId w:val="14"/>
        </w:numPr>
        <w:spacing w:after="0" w:line="240" w:lineRule="auto"/>
        <w:ind w:left="720" w:hanging="360"/>
        <w:rPr>
          <w:sz w:val="22"/>
          <w:szCs w:val="22"/>
        </w:rPr>
      </w:pPr>
      <w:r w:rsidDel="00000000" w:rsidR="00000000" w:rsidRPr="00000000">
        <w:rPr>
          <w:sz w:val="22"/>
          <w:szCs w:val="22"/>
          <w:rtl w:val="0"/>
        </w:rPr>
        <w:t xml:space="preserve">Cilindros</w:t>
      </w:r>
    </w:p>
    <w:p w:rsidR="00000000" w:rsidDel="00000000" w:rsidP="00000000" w:rsidRDefault="00000000" w:rsidRPr="00000000" w14:paraId="000001EC">
      <w:pPr>
        <w:numPr>
          <w:ilvl w:val="1"/>
          <w:numId w:val="14"/>
        </w:numPr>
        <w:spacing w:after="0" w:line="240" w:lineRule="auto"/>
        <w:ind w:left="1440" w:hanging="360"/>
        <w:rPr>
          <w:sz w:val="22"/>
          <w:szCs w:val="22"/>
        </w:rPr>
      </w:pPr>
      <w:r w:rsidDel="00000000" w:rsidR="00000000" w:rsidRPr="00000000">
        <w:rPr>
          <w:sz w:val="22"/>
          <w:szCs w:val="22"/>
          <w:rtl w:val="0"/>
        </w:rPr>
        <w:t xml:space="preserve">Os cilindros devem ser testados a cada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anos, de acordo com </w:t>
      </w:r>
      <w:r w:rsidDel="00000000" w:rsidR="00000000" w:rsidRPr="00000000">
        <w:rPr>
          <w:sz w:val="22"/>
          <w:szCs w:val="22"/>
          <w:highlight w:val="yellow"/>
          <w:rtl w:val="0"/>
        </w:rPr>
        <w:t xml:space="preserve">as normas ISO</w:t>
      </w:r>
      <w:r w:rsidDel="00000000" w:rsidR="00000000" w:rsidRPr="00000000">
        <w:rPr>
          <w:sz w:val="22"/>
          <w:szCs w:val="22"/>
          <w:rtl w:val="0"/>
        </w:rPr>
        <w:t xml:space="preserve"> </w:t>
      </w:r>
      <w:r w:rsidDel="00000000" w:rsidR="00000000" w:rsidRPr="00000000">
        <w:rPr>
          <w:i w:val="1"/>
          <w:color w:val="0000ff"/>
          <w:sz w:val="22"/>
          <w:szCs w:val="22"/>
          <w:rtl w:val="0"/>
        </w:rPr>
        <w:t xml:space="preserve">(tipicamente, com ensaio hidrostático a cada 5 anos)</w:t>
      </w:r>
      <w:r w:rsidDel="00000000" w:rsidR="00000000" w:rsidRPr="00000000">
        <w:rPr>
          <w:sz w:val="22"/>
          <w:szCs w:val="22"/>
          <w:rtl w:val="0"/>
        </w:rPr>
        <w:t xml:space="preserve">.</w:t>
      </w:r>
    </w:p>
    <w:p w:rsidR="00000000" w:rsidDel="00000000" w:rsidP="00000000" w:rsidRDefault="00000000" w:rsidRPr="00000000" w14:paraId="000001E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cilindros devem estar visivelmente marcados e pintados de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branco / azul / preto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indicar que são destinados a uso com oxigénio.</w:t>
      </w:r>
    </w:p>
    <w:p w:rsidR="00000000" w:rsidDel="00000000" w:rsidP="00000000" w:rsidRDefault="00000000" w:rsidRPr="00000000" w14:paraId="000001EE">
      <w:pPr>
        <w:numPr>
          <w:ilvl w:val="0"/>
          <w:numId w:val="14"/>
        </w:numPr>
        <w:spacing w:after="0" w:line="240" w:lineRule="auto"/>
        <w:ind w:left="720" w:hanging="360"/>
        <w:rPr>
          <w:sz w:val="22"/>
          <w:szCs w:val="22"/>
        </w:rPr>
      </w:pPr>
      <w:r w:rsidDel="00000000" w:rsidR="00000000" w:rsidRPr="00000000">
        <w:rPr>
          <w:sz w:val="22"/>
          <w:szCs w:val="22"/>
          <w:rtl w:val="0"/>
        </w:rPr>
        <w:t xml:space="preserve">Calibração dos instrumentos</w:t>
      </w:r>
    </w:p>
    <w:p w:rsidR="00000000" w:rsidDel="00000000" w:rsidP="00000000" w:rsidRDefault="00000000" w:rsidRPr="00000000" w14:paraId="000001EF">
      <w:pPr>
        <w:numPr>
          <w:ilvl w:val="1"/>
          <w:numId w:val="14"/>
        </w:numPr>
        <w:spacing w:after="0" w:line="240" w:lineRule="auto"/>
        <w:ind w:left="1440" w:hanging="360"/>
        <w:rPr>
          <w:sz w:val="22"/>
          <w:szCs w:val="22"/>
        </w:rPr>
      </w:pPr>
      <w:r w:rsidDel="00000000" w:rsidR="00000000" w:rsidRPr="00000000">
        <w:rPr>
          <w:sz w:val="22"/>
          <w:szCs w:val="22"/>
          <w:rtl w:val="0"/>
        </w:rPr>
        <w:t xml:space="preserve">Verificar se os analisadores de oxigénio, os manómetros e os medidores de fluxo cumprem as normas </w:t>
      </w:r>
      <w:r w:rsidDel="00000000" w:rsidR="00000000" w:rsidRPr="00000000">
        <w:rPr>
          <w:sz w:val="22"/>
          <w:szCs w:val="22"/>
          <w:highlight w:val="yellow"/>
          <w:rtl w:val="0"/>
        </w:rPr>
        <w:t xml:space="preserve">AFNOR/British/DIN</w:t>
      </w:r>
      <w:r w:rsidDel="00000000" w:rsidR="00000000" w:rsidRPr="00000000">
        <w:rPr>
          <w:sz w:val="22"/>
          <w:szCs w:val="22"/>
          <w:rtl w:val="0"/>
        </w:rPr>
        <w:t xml:space="preserve">, estão calibrados e em pleno funcionamento.</w:t>
      </w:r>
    </w:p>
    <w:p w:rsidR="00000000" w:rsidDel="00000000" w:rsidP="00000000" w:rsidRDefault="00000000" w:rsidRPr="00000000" w14:paraId="000001F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um registo de calibração e garantir que a recalibração é realizada no seguinte intervalo: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[inserir intervalo]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1">
      <w:pPr>
        <w:numPr>
          <w:ilvl w:val="0"/>
          <w:numId w:val="14"/>
        </w:numPr>
        <w:spacing w:after="0" w:line="240" w:lineRule="auto"/>
        <w:ind w:left="720" w:hanging="360"/>
        <w:rPr>
          <w:sz w:val="22"/>
          <w:szCs w:val="22"/>
        </w:rPr>
      </w:pPr>
      <w:r w:rsidDel="00000000" w:rsidR="00000000" w:rsidRPr="00000000">
        <w:rPr>
          <w:sz w:val="22"/>
          <w:szCs w:val="22"/>
          <w:rtl w:val="0"/>
        </w:rPr>
        <w:t xml:space="preserve">Verificação dos alarmes e dispositivos de segurança</w:t>
      </w:r>
    </w:p>
    <w:p w:rsidR="00000000" w:rsidDel="00000000" w:rsidP="00000000" w:rsidRDefault="00000000" w:rsidRPr="00000000" w14:paraId="000001F2">
      <w:pPr>
        <w:numPr>
          <w:ilvl w:val="1"/>
          <w:numId w:val="14"/>
        </w:numPr>
        <w:spacing w:after="0" w:line="240" w:lineRule="auto"/>
        <w:ind w:left="1440" w:hanging="360"/>
        <w:rPr>
          <w:sz w:val="22"/>
          <w:szCs w:val="22"/>
        </w:rPr>
      </w:pPr>
      <w:r w:rsidDel="00000000" w:rsidR="00000000" w:rsidRPr="00000000">
        <w:rPr>
          <w:sz w:val="22"/>
          <w:szCs w:val="22"/>
          <w:rtl w:val="0"/>
        </w:rPr>
        <w:t xml:space="preserve">Confirmar que todos os sistemas de alarme (pressão, falha de energia, pureza) estão operacionais e testar os botões e os intertravamentos de emergência.</w:t>
      </w:r>
    </w:p>
    <w:p w:rsidR="00000000" w:rsidDel="00000000" w:rsidP="00000000" w:rsidRDefault="00000000" w:rsidRPr="00000000" w14:paraId="000001F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Frequência: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[Ajustar de acordo com as orientações nacionais]</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3"/>
        <w:rPr>
          <w:highlight w:val="yellow"/>
        </w:rPr>
      </w:pPr>
      <w:bookmarkStart w:colFirst="0" w:colLast="0" w:name="_heading=h.hn9zjc3kj611" w:id="52"/>
      <w:bookmarkEnd w:id="52"/>
      <w:r w:rsidDel="00000000" w:rsidR="00000000" w:rsidRPr="00000000">
        <w:rPr>
          <w:rtl w:val="0"/>
        </w:rPr>
        <w:t xml:space="preserve">14.2 Documentação e registos</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Devem ser mantidos registos de GQ para:</w:t>
      </w:r>
    </w:p>
    <w:p w:rsidR="00000000" w:rsidDel="00000000" w:rsidP="00000000" w:rsidRDefault="00000000" w:rsidRPr="00000000" w14:paraId="000001F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Testes de pureza</w:t>
      </w:r>
    </w:p>
    <w:p w:rsidR="00000000" w:rsidDel="00000000" w:rsidP="00000000" w:rsidRDefault="00000000" w:rsidRPr="00000000" w14:paraId="000001F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Calibração de instrumentos</w:t>
      </w:r>
    </w:p>
    <w:p w:rsidR="00000000" w:rsidDel="00000000" w:rsidP="00000000" w:rsidRDefault="00000000" w:rsidRPr="00000000" w14:paraId="000001F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Manutenção preventiva</w:t>
      </w:r>
    </w:p>
    <w:p w:rsidR="00000000" w:rsidDel="00000000" w:rsidP="00000000" w:rsidRDefault="00000000" w:rsidRPr="00000000" w14:paraId="000001F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Enchimento de cilindros ou lotes de cilindros (se aplicável)</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os registos de GQ devem ser armazenados de forma segura e conservados por um período mínimo definido pelas normas regulatórias locais (</w:t>
      </w:r>
      <w:r w:rsidDel="00000000" w:rsidR="00000000" w:rsidRPr="00000000">
        <w:rPr>
          <w:rFonts w:ascii="Arial" w:cs="Arial" w:eastAsia="Arial" w:hAnsi="Arial"/>
          <w:b w:val="0"/>
          <w:i w:val="1"/>
          <w:smallCaps w:val="0"/>
          <w:strike w:val="0"/>
          <w:color w:val="000000"/>
          <w:sz w:val="22"/>
          <w:szCs w:val="22"/>
          <w:highlight w:val="yellow"/>
          <w:u w:val="none"/>
          <w:vertAlign w:val="baseline"/>
          <w:rtl w:val="0"/>
        </w:rPr>
        <w:t xml:space="preserve">[inserir período de retenção exigido]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D">
      <w:pPr>
        <w:spacing w:after="0" w:line="240" w:lineRule="auto"/>
        <w:rPr/>
      </w:pPr>
      <w:r w:rsidDel="00000000" w:rsidR="00000000" w:rsidRPr="00000000">
        <w:rPr>
          <w:rtl w:val="0"/>
        </w:rPr>
      </w:r>
    </w:p>
    <w:p w:rsidR="00000000" w:rsidDel="00000000" w:rsidP="00000000" w:rsidRDefault="00000000" w:rsidRPr="00000000" w14:paraId="000001FE">
      <w:pPr>
        <w:spacing w:after="0" w:line="240" w:lineRule="auto"/>
        <w:rPr/>
      </w:pPr>
      <w:r w:rsidDel="00000000" w:rsidR="00000000" w:rsidRPr="00000000">
        <w:rPr>
          <w:rtl w:val="0"/>
        </w:rPr>
      </w:r>
    </w:p>
    <w:p w:rsidR="00000000" w:rsidDel="00000000" w:rsidP="00000000" w:rsidRDefault="00000000" w:rsidRPr="00000000" w14:paraId="000001FF">
      <w:pPr>
        <w:spacing w:after="0" w:line="240" w:lineRule="auto"/>
        <w:rPr/>
      </w:pPr>
      <w:r w:rsidDel="00000000" w:rsidR="00000000" w:rsidRPr="00000000">
        <w:rPr>
          <w:rtl w:val="0"/>
        </w:rPr>
      </w:r>
    </w:p>
    <w:p w:rsidR="00000000" w:rsidDel="00000000" w:rsidP="00000000" w:rsidRDefault="00000000" w:rsidRPr="00000000" w14:paraId="00000200">
      <w:pPr>
        <w:spacing w:after="0" w:line="240" w:lineRule="auto"/>
        <w:rPr/>
      </w:pPr>
      <w:r w:rsidDel="00000000" w:rsidR="00000000" w:rsidRPr="00000000">
        <w:rPr>
          <w:rtl w:val="0"/>
        </w:rPr>
      </w:r>
    </w:p>
    <w:p w:rsidR="00000000" w:rsidDel="00000000" w:rsidP="00000000" w:rsidRDefault="00000000" w:rsidRPr="00000000" w14:paraId="00000201">
      <w:pPr>
        <w:pStyle w:val="Heading3"/>
        <w:spacing w:after="0" w:line="240" w:lineRule="auto"/>
        <w:rPr/>
      </w:pPr>
      <w:bookmarkStart w:colFirst="0" w:colLast="0" w:name="_heading=h.uob34m4tqpva" w:id="53"/>
      <w:bookmarkEnd w:id="53"/>
      <w:r w:rsidDel="00000000" w:rsidR="00000000" w:rsidRPr="00000000">
        <w:rPr>
          <w:rtl w:val="0"/>
        </w:rPr>
        <w:t xml:space="preserve">14.3 Revisão e supervisão</w:t>
      </w:r>
    </w:p>
    <w:p w:rsidR="00000000" w:rsidDel="00000000" w:rsidP="00000000" w:rsidRDefault="00000000" w:rsidRPr="00000000" w14:paraId="000002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registos de Garantia de Qualidade (GQ) devem ser revistos regularmente pelo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supervisor OU responsável designado pela qualidade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modo a garantir a conformidade e detetar tendências ou problemas recorrentes.</w:t>
      </w:r>
    </w:p>
    <w:p w:rsidR="00000000" w:rsidDel="00000000" w:rsidP="00000000" w:rsidRDefault="00000000" w:rsidRPr="00000000" w14:paraId="000002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Quaisquer resultados fora do normal (por exemplo, pureza abaixo do limite aceitável) devem ser investigados, documentados e resolvidos antes da utilização do oxigénio.</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Esta secção do PON apresenta expectativas gerais de GQ com base nas diretrizes de Boas Práticas de Fabricação (BPF) da Organização Mundial de Saúde (OMS). As frequências específicas de testes de GQ, os limites aceitáveis, os protocolos de documentação e os procedimentos de revisão devem ser adaptados em conformidade com a farmacopeia nacional aplicável, as orientações do Ministério da Saúde ou os requisitos da entidade reguladora competente.</w:t>
      </w:r>
    </w:p>
    <w:p w:rsidR="00000000" w:rsidDel="00000000" w:rsidP="00000000" w:rsidRDefault="00000000" w:rsidRPr="00000000" w14:paraId="00000206">
      <w:pPr>
        <w:pStyle w:val="Heading2"/>
        <w:rPr/>
      </w:pPr>
      <w:bookmarkStart w:colFirst="0" w:colLast="0" w:name="_heading=h.7zrs0uzf0ls7" w:id="54"/>
      <w:bookmarkEnd w:id="54"/>
      <w:r w:rsidDel="00000000" w:rsidR="00000000" w:rsidRPr="00000000">
        <w:rPr>
          <w:rtl w:val="0"/>
        </w:rPr>
      </w:r>
    </w:p>
    <w:p w:rsidR="00000000" w:rsidDel="00000000" w:rsidP="00000000" w:rsidRDefault="00000000" w:rsidRPr="00000000" w14:paraId="00000207">
      <w:pPr>
        <w:pStyle w:val="Heading4"/>
        <w:jc w:val="left"/>
        <w:rPr/>
      </w:pPr>
      <w:r w:rsidDel="00000000" w:rsidR="00000000" w:rsidRPr="00000000">
        <w:rPr>
          <w:rtl w:val="0"/>
        </w:rPr>
        <w:t xml:space="preserve">ANEXOS</w:t>
      </w:r>
    </w:p>
    <w:p w:rsidR="00000000" w:rsidDel="00000000" w:rsidP="00000000" w:rsidRDefault="00000000" w:rsidRPr="00000000" w14:paraId="00000208">
      <w:pPr>
        <w:pStyle w:val="Heading4"/>
        <w:numPr>
          <w:ilvl w:val="0"/>
          <w:numId w:val="5"/>
        </w:numPr>
        <w:ind w:left="720" w:hanging="360"/>
        <w:jc w:val="left"/>
      </w:pPr>
      <w:bookmarkStart w:colFirst="0" w:colLast="0" w:name="_heading=h.iyeo67p6stq" w:id="55"/>
      <w:bookmarkEnd w:id="55"/>
      <w:hyperlink r:id="rId19">
        <w:r w:rsidDel="00000000" w:rsidR="00000000" w:rsidRPr="00000000">
          <w:rPr>
            <w:color w:val="1155cc"/>
            <w:u w:val="single"/>
            <w:rtl w:val="0"/>
          </w:rPr>
          <w:t xml:space="preserve">Lista de Verificação Diária</w:t>
        </w:r>
      </w:hyperlink>
      <w:r w:rsidDel="00000000" w:rsidR="00000000" w:rsidRPr="00000000">
        <w:rPr>
          <w:rtl w:val="0"/>
        </w:rPr>
      </w:r>
    </w:p>
    <w:p w:rsidR="00000000" w:rsidDel="00000000" w:rsidP="00000000" w:rsidRDefault="00000000" w:rsidRPr="00000000" w14:paraId="00000209">
      <w:pPr>
        <w:pStyle w:val="Heading4"/>
        <w:numPr>
          <w:ilvl w:val="0"/>
          <w:numId w:val="5"/>
        </w:numPr>
        <w:ind w:left="720" w:hanging="360"/>
        <w:jc w:val="left"/>
      </w:pPr>
      <w:bookmarkStart w:colFirst="0" w:colLast="0" w:name="_heading=h.376nnwo5a8y5" w:id="56"/>
      <w:bookmarkEnd w:id="56"/>
      <w:hyperlink r:id="rId20">
        <w:r w:rsidDel="00000000" w:rsidR="00000000" w:rsidRPr="00000000">
          <w:rPr>
            <w:color w:val="1155cc"/>
            <w:u w:val="single"/>
            <w:rtl w:val="0"/>
          </w:rPr>
          <w:t xml:space="preserve">Lista de Verificação Diária: Valores Esperados</w:t>
        </w:r>
      </w:hyperlink>
      <w:r w:rsidDel="00000000" w:rsidR="00000000" w:rsidRPr="00000000">
        <w:rPr>
          <w:rtl w:val="0"/>
        </w:rPr>
      </w:r>
    </w:p>
    <w:p w:rsidR="00000000" w:rsidDel="00000000" w:rsidP="00000000" w:rsidRDefault="00000000" w:rsidRPr="00000000" w14:paraId="0000020A">
      <w:pPr>
        <w:pStyle w:val="Heading4"/>
        <w:numPr>
          <w:ilvl w:val="0"/>
          <w:numId w:val="5"/>
        </w:numPr>
        <w:ind w:left="720" w:hanging="360"/>
        <w:jc w:val="left"/>
      </w:pPr>
      <w:bookmarkStart w:colFirst="0" w:colLast="0" w:name="_heading=h.uv6rygz0qjf3" w:id="57"/>
      <w:bookmarkEnd w:id="57"/>
      <w:hyperlink r:id="rId21">
        <w:r w:rsidDel="00000000" w:rsidR="00000000" w:rsidRPr="00000000">
          <w:rPr>
            <w:color w:val="1155cc"/>
            <w:u w:val="single"/>
            <w:rtl w:val="0"/>
          </w:rPr>
          <w:t xml:space="preserve">Registo de Manutenção Preventiva</w:t>
        </w:r>
      </w:hyperlink>
      <w:r w:rsidDel="00000000" w:rsidR="00000000" w:rsidRPr="00000000">
        <w:rPr>
          <w:rtl w:val="0"/>
        </w:rPr>
      </w:r>
    </w:p>
    <w:p w:rsidR="00000000" w:rsidDel="00000000" w:rsidP="00000000" w:rsidRDefault="00000000" w:rsidRPr="00000000" w14:paraId="0000020B">
      <w:pPr>
        <w:pStyle w:val="Heading4"/>
        <w:numPr>
          <w:ilvl w:val="0"/>
          <w:numId w:val="5"/>
        </w:numPr>
        <w:ind w:left="720" w:hanging="360"/>
        <w:jc w:val="left"/>
        <w:rPr/>
      </w:pPr>
      <w:bookmarkStart w:colFirst="0" w:colLast="0" w:name="_heading=h.bryy7mdr23ip" w:id="58"/>
      <w:bookmarkEnd w:id="58"/>
      <w:hyperlink r:id="rId22">
        <w:r w:rsidDel="00000000" w:rsidR="00000000" w:rsidRPr="00000000">
          <w:rPr>
            <w:color w:val="1155cc"/>
            <w:u w:val="single"/>
            <w:rtl w:val="0"/>
          </w:rPr>
          <w:t xml:space="preserve">Registo de Reparações </w:t>
        </w:r>
      </w:hyperlink>
      <w:r w:rsidDel="00000000" w:rsidR="00000000" w:rsidRPr="00000000">
        <w:rPr>
          <w:rtl w:val="0"/>
        </w:rPr>
        <w:t xml:space="preserve"> </w:t>
      </w:r>
    </w:p>
    <w:p w:rsidR="00000000" w:rsidDel="00000000" w:rsidP="00000000" w:rsidRDefault="00000000" w:rsidRPr="00000000" w14:paraId="0000020C">
      <w:pPr>
        <w:pStyle w:val="Heading4"/>
        <w:numPr>
          <w:ilvl w:val="0"/>
          <w:numId w:val="5"/>
        </w:numPr>
        <w:ind w:left="720" w:hanging="360"/>
        <w:jc w:val="left"/>
      </w:pPr>
      <w:bookmarkStart w:colFirst="0" w:colLast="0" w:name="_heading=h.z5owgw28ck9u" w:id="59"/>
      <w:bookmarkEnd w:id="59"/>
      <w:r w:rsidDel="00000000" w:rsidR="00000000" w:rsidRPr="00000000">
        <w:rPr>
          <w:rtl w:val="0"/>
        </w:rPr>
        <w:t xml:space="preserve">Garantia da Estação</w:t>
      </w:r>
      <w:r w:rsidDel="00000000" w:rsidR="00000000" w:rsidRPr="00000000">
        <w:rPr>
          <w:i w:val="1"/>
          <w:color w:val="0000ff"/>
          <w:rtl w:val="0"/>
        </w:rPr>
        <w:t xml:space="preserve"> </w:t>
      </w:r>
      <w:r w:rsidDel="00000000" w:rsidR="00000000" w:rsidRPr="00000000">
        <w:rPr>
          <w:b w:val="0"/>
          <w:i w:val="1"/>
          <w:color w:val="0000ff"/>
          <w:rtl w:val="0"/>
        </w:rPr>
        <w:t xml:space="preserve">(se aplicável - </w:t>
      </w:r>
      <w:hyperlink r:id="rId23">
        <w:r w:rsidDel="00000000" w:rsidR="00000000" w:rsidRPr="00000000">
          <w:rPr>
            <w:b w:val="0"/>
            <w:i w:val="1"/>
            <w:color w:val="1155cc"/>
            <w:u w:val="single"/>
            <w:rtl w:val="0"/>
          </w:rPr>
          <w:t xml:space="preserve">consulte o documento de orientação aqui</w:t>
        </w:r>
      </w:hyperlink>
      <w:r w:rsidDel="00000000" w:rsidR="00000000" w:rsidRPr="00000000">
        <w:rPr>
          <w:b w:val="0"/>
          <w:i w:val="1"/>
          <w:color w:val="0000ff"/>
          <w:rtl w:val="0"/>
        </w:rPr>
        <w:t xml:space="preserve">)</w:t>
      </w:r>
      <w:r w:rsidDel="00000000" w:rsidR="00000000" w:rsidRPr="00000000">
        <w:rPr>
          <w:rtl w:val="0"/>
        </w:rPr>
      </w:r>
    </w:p>
    <w:p w:rsidR="00000000" w:rsidDel="00000000" w:rsidP="00000000" w:rsidRDefault="00000000" w:rsidRPr="00000000" w14:paraId="0000020D">
      <w:pPr>
        <w:pStyle w:val="Heading4"/>
        <w:numPr>
          <w:ilvl w:val="0"/>
          <w:numId w:val="5"/>
        </w:numPr>
        <w:ind w:left="720" w:hanging="360"/>
        <w:jc w:val="left"/>
      </w:pPr>
      <w:bookmarkStart w:colFirst="0" w:colLast="0" w:name="_heading=h.9egu7fcuyadj" w:id="60"/>
      <w:bookmarkEnd w:id="60"/>
      <w:r w:rsidDel="00000000" w:rsidR="00000000" w:rsidRPr="00000000">
        <w:rPr>
          <w:rtl w:val="0"/>
        </w:rPr>
        <w:t xml:space="preserve">Contrato de Manutenção / Acordo de Nível de Serviço</w:t>
      </w:r>
      <w:r w:rsidDel="00000000" w:rsidR="00000000" w:rsidRPr="00000000">
        <w:rPr>
          <w:i w:val="1"/>
          <w:color w:val="0000ff"/>
          <w:rtl w:val="0"/>
        </w:rPr>
        <w:t xml:space="preserve"> </w:t>
      </w:r>
      <w:r w:rsidDel="00000000" w:rsidR="00000000" w:rsidRPr="00000000">
        <w:rPr>
          <w:b w:val="0"/>
          <w:i w:val="1"/>
          <w:color w:val="0000ff"/>
          <w:rtl w:val="0"/>
        </w:rPr>
        <w:t xml:space="preserve">(se aplicável -</w:t>
      </w:r>
      <w:hyperlink r:id="rId24">
        <w:r w:rsidDel="00000000" w:rsidR="00000000" w:rsidRPr="00000000">
          <w:rPr>
            <w:b w:val="0"/>
            <w:i w:val="1"/>
            <w:color w:val="1155cc"/>
            <w:u w:val="single"/>
            <w:rtl w:val="0"/>
          </w:rPr>
          <w:t xml:space="preserve"> consulte o documento de orientação aqui</w:t>
        </w:r>
      </w:hyperlink>
      <w:r w:rsidDel="00000000" w:rsidR="00000000" w:rsidRPr="00000000">
        <w:rPr>
          <w:b w:val="0"/>
          <w:i w:val="1"/>
          <w:color w:val="0000ff"/>
          <w:rtl w:val="0"/>
        </w:rPr>
        <w:t xml:space="preserve">)</w:t>
      </w:r>
      <w:r w:rsidDel="00000000" w:rsidR="00000000" w:rsidRPr="00000000">
        <w:rPr>
          <w:rtl w:val="0"/>
        </w:rPr>
      </w:r>
    </w:p>
    <w:p w:rsidR="00000000" w:rsidDel="00000000" w:rsidP="00000000" w:rsidRDefault="00000000" w:rsidRPr="00000000" w14:paraId="0000020E">
      <w:pPr>
        <w:pStyle w:val="Heading4"/>
        <w:numPr>
          <w:ilvl w:val="0"/>
          <w:numId w:val="5"/>
        </w:numPr>
        <w:ind w:left="720" w:hanging="360"/>
        <w:jc w:val="left"/>
      </w:pPr>
      <w:bookmarkStart w:colFirst="0" w:colLast="0" w:name="_heading=h.7gxny6banqfh" w:id="61"/>
      <w:bookmarkEnd w:id="61"/>
      <w:hyperlink r:id="rId25">
        <w:r w:rsidDel="00000000" w:rsidR="00000000" w:rsidRPr="00000000">
          <w:rPr>
            <w:color w:val="1155cc"/>
            <w:u w:val="single"/>
            <w:rtl w:val="0"/>
          </w:rPr>
          <w:t xml:space="preserve">Lista de Ferramentas Gerais para Estações de PSA</w:t>
        </w:r>
      </w:hyperlink>
      <w:r w:rsidDel="00000000" w:rsidR="00000000" w:rsidRPr="00000000">
        <w:rPr>
          <w:rtl w:val="0"/>
        </w:rPr>
      </w:r>
    </w:p>
    <w:p w:rsidR="00000000" w:rsidDel="00000000" w:rsidP="00000000" w:rsidRDefault="00000000" w:rsidRPr="00000000" w14:paraId="0000020F">
      <w:pPr>
        <w:pStyle w:val="Heading4"/>
        <w:numPr>
          <w:ilvl w:val="0"/>
          <w:numId w:val="5"/>
        </w:numPr>
        <w:ind w:left="720" w:hanging="360"/>
        <w:jc w:val="left"/>
      </w:pPr>
      <w:bookmarkStart w:colFirst="0" w:colLast="0" w:name="_heading=h.b64m5bkogmae" w:id="62"/>
      <w:bookmarkEnd w:id="62"/>
      <w:hyperlink r:id="rId26">
        <w:r w:rsidDel="00000000" w:rsidR="00000000" w:rsidRPr="00000000">
          <w:rPr>
            <w:color w:val="1155cc"/>
            <w:u w:val="single"/>
            <w:rtl w:val="0"/>
          </w:rPr>
          <w:t xml:space="preserve">Lista de Ferramentas para Compressores Auxiliares </w:t>
        </w:r>
      </w:hyperlink>
      <w:r w:rsidDel="00000000" w:rsidR="00000000" w:rsidRPr="00000000">
        <w:rPr>
          <w:rtl w:val="0"/>
        </w:rPr>
      </w:r>
    </w:p>
    <w:p w:rsidR="00000000" w:rsidDel="00000000" w:rsidP="00000000" w:rsidRDefault="00000000" w:rsidRPr="00000000" w14:paraId="00000210">
      <w:pPr>
        <w:pStyle w:val="Heading4"/>
        <w:numPr>
          <w:ilvl w:val="0"/>
          <w:numId w:val="5"/>
        </w:numPr>
        <w:ind w:left="720" w:hanging="360"/>
        <w:jc w:val="left"/>
      </w:pPr>
      <w:bookmarkStart w:colFirst="0" w:colLast="0" w:name="_heading=h.u42p9vaix9hk" w:id="63"/>
      <w:bookmarkEnd w:id="63"/>
      <w:r w:rsidDel="00000000" w:rsidR="00000000" w:rsidRPr="00000000">
        <w:rPr>
          <w:rtl w:val="0"/>
        </w:rPr>
        <w:t xml:space="preserve">Calendário de Manutenção Preventiva</w:t>
      </w:r>
    </w:p>
    <w:p w:rsidR="00000000" w:rsidDel="00000000" w:rsidP="00000000" w:rsidRDefault="00000000" w:rsidRPr="00000000" w14:paraId="00000211">
      <w:pPr>
        <w:pStyle w:val="Heading4"/>
        <w:numPr>
          <w:ilvl w:val="0"/>
          <w:numId w:val="5"/>
        </w:numPr>
        <w:ind w:left="720" w:hanging="360"/>
        <w:jc w:val="left"/>
      </w:pPr>
      <w:bookmarkStart w:colFirst="0" w:colLast="0" w:name="_heading=h.7qegjfa2o6on" w:id="64"/>
      <w:bookmarkEnd w:id="64"/>
      <w:hyperlink r:id="rId27">
        <w:r w:rsidDel="00000000" w:rsidR="00000000" w:rsidRPr="00000000">
          <w:rPr>
            <w:color w:val="1155cc"/>
            <w:u w:val="single"/>
            <w:rtl w:val="0"/>
          </w:rPr>
          <w:t xml:space="preserve">Lista de Inventário das Peças Sobressalentes</w:t>
        </w:r>
      </w:hyperlink>
      <w:r w:rsidDel="00000000" w:rsidR="00000000" w:rsidRPr="00000000">
        <w:rPr>
          <w:rtl w:val="0"/>
        </w:rPr>
        <w:t xml:space="preserve"> </w:t>
      </w:r>
      <w:r w:rsidDel="00000000" w:rsidR="00000000" w:rsidRPr="00000000">
        <w:rPr>
          <w:b w:val="0"/>
          <w:i w:val="1"/>
          <w:color w:val="0000ff"/>
          <w:rtl w:val="0"/>
        </w:rPr>
        <w:t xml:space="preserve">(se aplicável - </w:t>
      </w:r>
      <w:hyperlink r:id="rId28">
        <w:r w:rsidDel="00000000" w:rsidR="00000000" w:rsidRPr="00000000">
          <w:rPr>
            <w:b w:val="0"/>
            <w:i w:val="1"/>
            <w:color w:val="1155cc"/>
            <w:u w:val="single"/>
            <w:rtl w:val="0"/>
          </w:rPr>
          <w:t xml:space="preserve">consulte o documento de orientação aqui</w:t>
        </w:r>
      </w:hyperlink>
      <w:r w:rsidDel="00000000" w:rsidR="00000000" w:rsidRPr="00000000">
        <w:rPr>
          <w:b w:val="0"/>
          <w:i w:val="1"/>
          <w:color w:val="0000ff"/>
          <w:rtl w:val="0"/>
        </w:rPr>
        <w:t xml:space="preserve">)</w:t>
      </w:r>
      <w:r w:rsidDel="00000000" w:rsidR="00000000" w:rsidRPr="00000000">
        <w:rPr>
          <w:rtl w:val="0"/>
        </w:rPr>
      </w:r>
    </w:p>
    <w:p w:rsidR="00000000" w:rsidDel="00000000" w:rsidP="00000000" w:rsidRDefault="00000000" w:rsidRPr="00000000" w14:paraId="00000212">
      <w:pPr>
        <w:pStyle w:val="Heading4"/>
        <w:numPr>
          <w:ilvl w:val="0"/>
          <w:numId w:val="5"/>
        </w:numPr>
        <w:ind w:left="720" w:hanging="360"/>
        <w:jc w:val="left"/>
        <w:rPr/>
      </w:pPr>
      <w:bookmarkStart w:colFirst="0" w:colLast="0" w:name="_heading=h.v49hzitmqnet" w:id="65"/>
      <w:bookmarkEnd w:id="65"/>
      <w:hyperlink r:id="rId29">
        <w:r w:rsidDel="00000000" w:rsidR="00000000" w:rsidRPr="00000000">
          <w:rPr>
            <w:color w:val="1155cc"/>
            <w:u w:val="single"/>
            <w:rtl w:val="0"/>
          </w:rPr>
          <w:t xml:space="preserve">Orçamento Detalhado dos Custos Operacionais</w:t>
        </w:r>
      </w:hyperlink>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ff"/>
          <w:sz w:val="22"/>
          <w:szCs w:val="22"/>
          <w:u w:val="none"/>
          <w:shd w:fill="auto" w:val="clear"/>
          <w:vertAlign w:val="baseline"/>
          <w:rtl w:val="0"/>
        </w:rPr>
        <w:t xml:space="preserve">Os gestores das estações de oxigénio são responsáveis por preencher estes anexos com a documentação específica de cada hospital. Estão atualmente anexadas ferramentas, guias e exemplos para apoiar os gestores na elaboração de documentação personalizada para as suas unidades.</w:t>
      </w:r>
      <w:r w:rsidDel="00000000" w:rsidR="00000000" w:rsidRPr="00000000">
        <w:rPr>
          <w:rtl w:val="0"/>
        </w:rPr>
      </w:r>
    </w:p>
    <w:sectPr>
      <w:type w:val="nextPage"/>
      <w:pgSz w:h="16838" w:w="11906" w:orient="portrait"/>
      <w:pgMar w:bottom="431" w:top="720" w:left="720" w:right="720" w:header="431" w:footer="43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tbl>
    <w:tblPr>
      <w:tblStyle w:val="Table5"/>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0"/>
      <w:gridCol w:w="5310"/>
      <w:tblGridChange w:id="0">
        <w:tblGrid>
          <w:gridCol w:w="5100"/>
          <w:gridCol w:w="5310"/>
        </w:tblGrid>
      </w:tblGridChange>
    </w:tblGrid>
    <w:tr>
      <w:trPr>
        <w:cantSplit w:val="0"/>
        <w:trHeight w:val="15" w:hRule="atLeast"/>
        <w:tblHeader w:val="0"/>
      </w:trPr>
      <w:tc>
        <w:tcPr>
          <w:gridSpan w:val="2"/>
          <w:tcBorders>
            <w:top w:color="000000" w:space="0" w:sz="4" w:val="single"/>
          </w:tcBorders>
          <w:tcMar>
            <w:top w:w="-324.0" w:type="dxa"/>
            <w:left w:w="-324.0" w:type="dxa"/>
            <w:bottom w:w="-324.0" w:type="dxa"/>
            <w:right w:w="-324.0" w:type="dxa"/>
          </w:tcMar>
          <w:vAlign w:val="bottom"/>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Black" w:cs="Arial Black" w:eastAsia="Arial Black" w:hAnsi="Arial Black"/>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Mar>
            <w:top w:w="-324.0" w:type="dxa"/>
            <w:left w:w="-324.0" w:type="dxa"/>
            <w:bottom w:w="-324.0" w:type="dxa"/>
            <w:right w:w="-324.0" w:type="dxa"/>
          </w:tcMar>
          <w:vAlign w:val="bottom"/>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64" w:lineRule="auto"/>
            <w:ind w:left="0" w:right="0" w:firstLine="0"/>
            <w:jc w:val="left"/>
            <w:rPr>
              <w:rFonts w:ascii="Arial" w:cs="Arial" w:eastAsia="Arial" w:hAnsi="Arial"/>
              <w:b w:val="0"/>
              <w:i w:val="0"/>
              <w:smallCaps w:val="0"/>
              <w:strike w:val="0"/>
              <w:color w:val="323232"/>
              <w:sz w:val="16"/>
              <w:szCs w:val="16"/>
              <w:u w:val="none"/>
              <w:shd w:fill="auto" w:val="clear"/>
              <w:vertAlign w:val="baseline"/>
            </w:rPr>
          </w:pPr>
          <w:r w:rsidDel="00000000" w:rsidR="00000000" w:rsidRPr="00000000">
            <w:rPr>
              <w:rFonts w:ascii="Arial" w:cs="Arial" w:eastAsia="Arial" w:hAnsi="Arial"/>
              <w:b w:val="0"/>
              <w:i w:val="0"/>
              <w:smallCaps w:val="0"/>
              <w:strike w:val="0"/>
              <w:color w:val="323232"/>
              <w:sz w:val="16"/>
              <w:szCs w:val="16"/>
              <w:u w:val="none"/>
              <w:shd w:fill="auto" w:val="clear"/>
              <w:vertAlign w:val="baseline"/>
            </w:rPr>
            <w:drawing>
              <wp:inline distB="0" distT="0" distL="0" distR="0">
                <wp:extent cx="1620259" cy="152280"/>
                <wp:effectExtent b="0" l="0" r="0" t="0"/>
                <wp:docPr id="2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20259" cy="152280"/>
                        </a:xfrm>
                        <a:prstGeom prst="rect"/>
                        <a:ln/>
                      </pic:spPr>
                    </pic:pic>
                  </a:graphicData>
                </a:graphic>
              </wp:inline>
            </w:drawing>
          </w:r>
          <w:r w:rsidDel="00000000" w:rsidR="00000000" w:rsidRPr="00000000">
            <w:rPr>
              <w:rFonts w:ascii="Arial" w:cs="Arial" w:eastAsia="Arial" w:hAnsi="Arial"/>
              <w:b w:val="0"/>
              <w:i w:val="0"/>
              <w:smallCaps w:val="0"/>
              <w:strike w:val="0"/>
              <w:color w:val="323232"/>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323232"/>
              <w:sz w:val="16"/>
              <w:szCs w:val="16"/>
              <w:u w:val="none"/>
              <w:shd w:fill="auto" w:val="clear"/>
              <w:vertAlign w:val="baseline"/>
            </w:rPr>
            <w:drawing>
              <wp:inline distB="0" distT="0" distL="0" distR="0">
                <wp:extent cx="365760" cy="365760"/>
                <wp:effectExtent b="0" l="0" r="0" t="0"/>
                <wp:docPr id="29"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365760" cy="365760"/>
                        </a:xfrm>
                        <a:prstGeom prst="rect"/>
                        <a:ln/>
                      </pic:spPr>
                    </pic:pic>
                  </a:graphicData>
                </a:graphic>
              </wp:inline>
            </w:drawing>
          </w:r>
          <w:r w:rsidDel="00000000" w:rsidR="00000000" w:rsidRPr="00000000">
            <w:rPr>
              <w:rtl w:val="0"/>
            </w:rPr>
          </w:r>
        </w:p>
      </w:tc>
      <w:tc>
        <w:tcPr>
          <w:tcMar>
            <w:top w:w="-324.0" w:type="dxa"/>
            <w:left w:w="-324.0" w:type="dxa"/>
            <w:bottom w:w="-324.0" w:type="dxa"/>
            <w:right w:w="-324.0" w:type="dxa"/>
          </w:tcMar>
          <w:vAlign w:val="bottom"/>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Black" w:cs="Arial Black" w:eastAsia="Arial Black" w:hAnsi="Arial Black"/>
              <w:b w:val="0"/>
              <w:i w:val="0"/>
              <w:smallCaps w:val="0"/>
              <w:strike w:val="0"/>
              <w:color w:val="000000"/>
              <w:sz w:val="18"/>
              <w:szCs w:val="18"/>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tl w:val="0"/>
            </w:rPr>
            <w:t xml:space="preserve">Página </w:t>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tl w:val="0"/>
            </w:rPr>
            <w:t xml:space="preserve"> de </w:t>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0"/>
      <w:jc w:val="left"/>
      <w:rPr>
        <w:rFonts w:ascii="Arial" w:cs="Arial" w:eastAsia="Arial" w:hAnsi="Arial"/>
        <w:b w:val="0"/>
        <w:i w:val="0"/>
        <w:smallCaps w:val="0"/>
        <w:strike w:val="0"/>
        <w:color w:val="323232"/>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6"/>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0"/>
      <w:gridCol w:w="5310"/>
      <w:tblGridChange w:id="0">
        <w:tblGrid>
          <w:gridCol w:w="5100"/>
          <w:gridCol w:w="5310"/>
        </w:tblGrid>
      </w:tblGridChange>
    </w:tblGrid>
    <w:tr>
      <w:trPr>
        <w:cantSplit w:val="0"/>
        <w:trHeight w:val="15" w:hRule="atLeast"/>
        <w:tblHeader w:val="0"/>
      </w:trPr>
      <w:tc>
        <w:tcPr>
          <w:gridSpan w:val="2"/>
          <w:tcBorders>
            <w:top w:color="000000" w:space="0" w:sz="4" w:val="single"/>
          </w:tcBorders>
          <w:tcMar>
            <w:top w:w="-324.0" w:type="dxa"/>
            <w:left w:w="-324.0" w:type="dxa"/>
            <w:bottom w:w="-324.0" w:type="dxa"/>
            <w:right w:w="-324.0" w:type="dxa"/>
          </w:tcMar>
          <w:vAlign w:val="bottom"/>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Black" w:cs="Arial Black" w:eastAsia="Arial Black" w:hAnsi="Arial Black"/>
              <w:b w:val="0"/>
              <w:i w:val="0"/>
              <w:smallCaps w:val="0"/>
              <w:strike w:val="0"/>
              <w:color w:val="000000"/>
              <w:sz w:val="18"/>
              <w:szCs w:val="18"/>
              <w:u w:val="none"/>
              <w:shd w:fill="auto" w:val="clear"/>
              <w:vertAlign w:val="baseline"/>
            </w:rPr>
          </w:pPr>
          <w:bookmarkStart w:colFirst="0" w:colLast="0" w:name="_heading=h.o0n1ot9swjzr" w:id="66"/>
          <w:bookmarkEnd w:id="66"/>
          <w:r w:rsidDel="00000000" w:rsidR="00000000" w:rsidRPr="00000000">
            <w:rPr>
              <w:rtl w:val="0"/>
            </w:rPr>
          </w:r>
        </w:p>
      </w:tc>
    </w:tr>
    <w:tr>
      <w:trPr>
        <w:cantSplit w:val="0"/>
        <w:tblHeader w:val="0"/>
      </w:trPr>
      <w:tc>
        <w:tcPr>
          <w:tcMar>
            <w:top w:w="-324.0" w:type="dxa"/>
            <w:left w:w="-324.0" w:type="dxa"/>
            <w:bottom w:w="-324.0" w:type="dxa"/>
            <w:right w:w="-324.0" w:type="dxa"/>
          </w:tcMar>
          <w:vAlign w:val="bottom"/>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64" w:lineRule="auto"/>
            <w:ind w:left="0" w:right="0" w:firstLine="0"/>
            <w:jc w:val="left"/>
            <w:rPr>
              <w:rFonts w:ascii="Arial" w:cs="Arial" w:eastAsia="Arial" w:hAnsi="Arial"/>
              <w:b w:val="0"/>
              <w:i w:val="0"/>
              <w:smallCaps w:val="0"/>
              <w:strike w:val="0"/>
              <w:color w:val="323232"/>
              <w:sz w:val="16"/>
              <w:szCs w:val="16"/>
              <w:u w:val="none"/>
              <w:shd w:fill="auto" w:val="clear"/>
              <w:vertAlign w:val="baseline"/>
            </w:rPr>
          </w:pPr>
          <w:r w:rsidDel="00000000" w:rsidR="00000000" w:rsidRPr="00000000">
            <w:rPr>
              <w:rFonts w:ascii="Arial" w:cs="Arial" w:eastAsia="Arial" w:hAnsi="Arial"/>
              <w:b w:val="0"/>
              <w:i w:val="0"/>
              <w:smallCaps w:val="0"/>
              <w:strike w:val="0"/>
              <w:color w:val="323232"/>
              <w:sz w:val="16"/>
              <w:szCs w:val="16"/>
              <w:u w:val="none"/>
              <w:shd w:fill="auto" w:val="clear"/>
              <w:vertAlign w:val="baseline"/>
            </w:rPr>
            <w:drawing>
              <wp:inline distB="0" distT="0" distL="0" distR="0">
                <wp:extent cx="1620259" cy="152280"/>
                <wp:effectExtent b="0" l="0" r="0" t="0"/>
                <wp:docPr id="2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20259" cy="152280"/>
                        </a:xfrm>
                        <a:prstGeom prst="rect"/>
                        <a:ln/>
                      </pic:spPr>
                    </pic:pic>
                  </a:graphicData>
                </a:graphic>
              </wp:inline>
            </w:drawing>
          </w:r>
          <w:r w:rsidDel="00000000" w:rsidR="00000000" w:rsidRPr="00000000">
            <w:rPr>
              <w:rFonts w:ascii="Arial" w:cs="Arial" w:eastAsia="Arial" w:hAnsi="Arial"/>
              <w:b w:val="0"/>
              <w:i w:val="0"/>
              <w:smallCaps w:val="0"/>
              <w:strike w:val="0"/>
              <w:color w:val="323232"/>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323232"/>
              <w:sz w:val="16"/>
              <w:szCs w:val="16"/>
              <w:u w:val="none"/>
              <w:shd w:fill="auto" w:val="clear"/>
              <w:vertAlign w:val="baseline"/>
            </w:rPr>
            <w:drawing>
              <wp:inline distB="0" distT="0" distL="0" distR="0">
                <wp:extent cx="365760" cy="365760"/>
                <wp:effectExtent b="0" l="0" r="0" t="0"/>
                <wp:docPr id="30"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365760" cy="365760"/>
                        </a:xfrm>
                        <a:prstGeom prst="rect"/>
                        <a:ln/>
                      </pic:spPr>
                    </pic:pic>
                  </a:graphicData>
                </a:graphic>
              </wp:inline>
            </w:drawing>
          </w:r>
          <w:r w:rsidDel="00000000" w:rsidR="00000000" w:rsidRPr="00000000">
            <w:rPr>
              <w:rtl w:val="0"/>
            </w:rPr>
          </w:r>
        </w:p>
      </w:tc>
      <w:tc>
        <w:tcPr>
          <w:tcMar>
            <w:top w:w="-324.0" w:type="dxa"/>
            <w:left w:w="-324.0" w:type="dxa"/>
            <w:bottom w:w="-324.0" w:type="dxa"/>
            <w:right w:w="-324.0" w:type="dxa"/>
          </w:tcMar>
          <w:vAlign w:val="bottom"/>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Black" w:cs="Arial Black" w:eastAsia="Arial Black" w:hAnsi="Arial Black"/>
              <w:b w:val="0"/>
              <w:i w:val="0"/>
              <w:smallCaps w:val="0"/>
              <w:strike w:val="0"/>
              <w:color w:val="000000"/>
              <w:sz w:val="18"/>
              <w:szCs w:val="18"/>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tl w:val="0"/>
            </w:rPr>
            <w:t xml:space="preserve">Página </w:t>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tl w:val="0"/>
            </w:rPr>
            <w:t xml:space="preserve"> de </w:t>
          </w:r>
          <w:r w:rsidDel="00000000" w:rsidR="00000000" w:rsidRPr="00000000">
            <w:rPr>
              <w:rFonts w:ascii="Arial Black" w:cs="Arial Black" w:eastAsia="Arial Black" w:hAnsi="Arial Black"/>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0"/>
      <w:jc w:val="left"/>
      <w:rPr>
        <w:rFonts w:ascii="Arial" w:cs="Arial" w:eastAsia="Arial" w:hAnsi="Arial"/>
        <w:b w:val="0"/>
        <w:i w:val="0"/>
        <w:smallCaps w:val="0"/>
        <w:strike w:val="0"/>
        <w:color w:val="323232"/>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5807399</wp:posOffset>
          </wp:positionH>
          <wp:positionV relativeFrom="page">
            <wp:posOffset>318054</wp:posOffset>
          </wp:positionV>
          <wp:extent cx="1290638" cy="655402"/>
          <wp:effectExtent b="0" l="0" r="0" t="0"/>
          <wp:wrapNone/>
          <wp:docPr descr="A picture containing graphical user interface&#10;&#10;Description automatically generated" id="26" name="image1.png"/>
          <a:graphic>
            <a:graphicData uri="http://schemas.openxmlformats.org/drawingml/2006/picture">
              <pic:pic>
                <pic:nvPicPr>
                  <pic:cNvPr descr="A picture containing graphical user interface&#10;&#10;Description automatically generated" id="0" name="image1.png"/>
                  <pic:cNvPicPr preferRelativeResize="0"/>
                </pic:nvPicPr>
                <pic:blipFill>
                  <a:blip r:embed="rId1"/>
                  <a:srcRect b="0" l="0" r="0" t="0"/>
                  <a:stretch>
                    <a:fillRect/>
                  </a:stretch>
                </pic:blipFill>
                <pic:spPr>
                  <a:xfrm>
                    <a:off x="0" y="0"/>
                    <a:ext cx="1290638" cy="655402"/>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457200</wp:posOffset>
          </wp:positionH>
          <wp:positionV relativeFrom="page">
            <wp:posOffset>399017</wp:posOffset>
          </wp:positionV>
          <wp:extent cx="1437770" cy="493200"/>
          <wp:effectExtent b="0" l="0" r="0" t="0"/>
          <wp:wrapNone/>
          <wp:docPr descr="Shape&#10;&#10;Description automatically generated with low confidence" id="25" name="image3.png"/>
          <a:graphic>
            <a:graphicData uri="http://schemas.openxmlformats.org/drawingml/2006/picture">
              <pic:pic>
                <pic:nvPicPr>
                  <pic:cNvPr descr="Shape&#10;&#10;Description automatically generated with low confidence" id="0" name="image3.png"/>
                  <pic:cNvPicPr preferRelativeResize="0"/>
                </pic:nvPicPr>
                <pic:blipFill>
                  <a:blip r:embed="rId2"/>
                  <a:srcRect b="0" l="0" r="0" t="0"/>
                  <a:stretch>
                    <a:fillRect/>
                  </a:stretch>
                </pic:blipFill>
                <pic:spPr>
                  <a:xfrm>
                    <a:off x="0" y="0"/>
                    <a:ext cx="1437770" cy="493200"/>
                  </a:xfrm>
                  <a:prstGeom prst="rect"/>
                  <a:ln/>
                </pic:spPr>
              </pic:pic>
            </a:graphicData>
          </a:graphic>
        </wp:anchor>
      </w:drawing>
    </w:r>
    <w:r w:rsidDel="00000000" w:rsidR="00000000" w:rsidRPr="00000000">
      <w:rPr>
        <w:rtl w:val="0"/>
      </w:rPr>
    </w:r>
  </w:p>
  <w:tbl>
    <w:tblPr>
      <w:tblStyle w:val="Table4"/>
      <w:tblW w:w="2268.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2268"/>
      <w:tblGridChange w:id="0">
        <w:tblGrid>
          <w:gridCol w:w="2268"/>
        </w:tblGrid>
      </w:tblGridChange>
    </w:tblGrid>
    <w:tr>
      <w:trPr>
        <w:cantSplit w:val="0"/>
        <w:trHeight w:val="454"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20" w:before="0" w:line="264"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2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_PT"/>
      </w:rPr>
    </w:rPrDefault>
    <w:pPrDefault>
      <w:pPr>
        <w:spacing w:after="240"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0" w:before="240" w:line="240" w:lineRule="auto"/>
      <w:ind w:left="0" w:right="0" w:firstLine="0"/>
      <w:jc w:val="left"/>
    </w:pPr>
    <w:rPr>
      <w:rFonts w:ascii="Arial Black" w:cs="Arial Black" w:eastAsia="Arial Black" w:hAnsi="Arial Black"/>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Black" w:cs="Arial Black" w:eastAsia="Arial Black" w:hAnsi="Arial Black"/>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64" w:lineRule="auto"/>
      <w:ind w:left="1008" w:right="0" w:hanging="432"/>
      <w:jc w:val="left"/>
    </w:pPr>
    <w:rPr>
      <w:rFonts w:ascii="Arial" w:cs="Arial" w:eastAsia="Arial" w:hAnsi="Arial"/>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64" w:lineRule="auto"/>
      <w:ind w:left="1152" w:right="0" w:hanging="432"/>
      <w:jc w:val="left"/>
    </w:pPr>
    <w:rPr>
      <w:rFonts w:ascii="Arial" w:cs="Arial" w:eastAsia="Arial" w:hAnsi="Arial"/>
      <w:b w:val="0"/>
      <w:i w:val="0"/>
      <w:smallCaps w:val="0"/>
      <w:strike w:val="0"/>
      <w:color w:val="000000"/>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Black" w:cs="Arial Black" w:eastAsia="Arial Black" w:hAnsi="Arial Black"/>
      <w:b w:val="0"/>
      <w:i w:val="0"/>
      <w:smallCaps w:val="0"/>
      <w:strike w:val="0"/>
      <w:color w:val="000000"/>
      <w:sz w:val="60"/>
      <w:szCs w:val="60"/>
      <w:u w:val="none"/>
      <w:shd w:fill="auto" w:val="clear"/>
      <w:vertAlign w:val="baseline"/>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Normal1" w:customStyle="1">
    <w:name w:val="Normal1"/>
  </w:style>
  <w:style w:type="paragraph" w:styleId="normal0" w:customStyle="1">
    <w:name w:val="normal_0"/>
  </w:style>
  <w:style w:type="table" w:styleId="TableNormal0" w:customStyle="1">
    <w:name w:val="TableNormal_0"/>
    <w:tblPr>
      <w:tblCellMar>
        <w:top w:w="0.0" w:type="dxa"/>
        <w:left w:w="0.0" w:type="dxa"/>
        <w:bottom w:w="0.0" w:type="dxa"/>
        <w:right w:w="0.0" w:type="dxa"/>
      </w:tblCellMar>
    </w:tblPr>
  </w:style>
  <w:style w:type="paragraph" w:styleId="normal10" w:customStyle="1">
    <w:name w:val="normal_1"/>
  </w:style>
  <w:style w:type="table" w:styleId="TableNormal1" w:customStyle="1">
    <w:name w:val="Table Normal"/>
    <w:tblPr>
      <w:tblCellMar>
        <w:top w:w="0.0" w:type="dxa"/>
        <w:left w:w="0.0" w:type="dxa"/>
        <w:bottom w:w="0.0" w:type="dxa"/>
        <w:right w:w="0.0" w:type="dxa"/>
      </w:tblCellMar>
    </w:tblPr>
  </w:style>
  <w:style w:type="paragraph" w:styleId="normal2" w:customStyle="1">
    <w:name w:val="normal_2"/>
  </w:style>
  <w:style w:type="table" w:styleId="TableNormal00" w:customStyle="1">
    <w:name w:val="Table Normal_0"/>
    <w:tblPr>
      <w:tblCellMar>
        <w:top w:w="0.0" w:type="dxa"/>
        <w:left w:w="0.0" w:type="dxa"/>
        <w:bottom w:w="0.0" w:type="dxa"/>
        <w:right w:w="0.0" w:type="dxa"/>
      </w:tblCellMar>
    </w:tblPr>
  </w:style>
  <w:style w:type="table" w:styleId="Table1" w:customStyle="1">
    <w:name w:val="Table1"/>
    <w:basedOn w:val="TableNormal00"/>
    <w:tblPr>
      <w:tblStyleRowBandSize w:val="1"/>
      <w:tblStyleColBandSize w:val="1"/>
      <w:tblCellMar>
        <w:top w:w="100.0" w:type="dxa"/>
        <w:left w:w="100.0" w:type="dxa"/>
        <w:bottom w:w="100.0" w:type="dxa"/>
        <w:right w:w="100.0" w:type="dxa"/>
      </w:tblCellMar>
    </w:tblPr>
  </w:style>
  <w:style w:type="table" w:styleId="Table2" w:customStyle="1">
    <w:name w:val="Table2"/>
    <w:basedOn w:val="TableNormal00"/>
    <w:tblPr>
      <w:tblStyleRowBandSize w:val="1"/>
      <w:tblStyleColBandSize w:val="1"/>
      <w:tblCellMar>
        <w:top w:w="100.0" w:type="dxa"/>
        <w:left w:w="100.0" w:type="dxa"/>
        <w:bottom w:w="100.0" w:type="dxa"/>
        <w:right w:w="100.0" w:type="dxa"/>
      </w:tblCellMar>
    </w:tblPr>
  </w:style>
  <w:style w:type="table" w:styleId="Table3" w:customStyle="1">
    <w:name w:val="Table3"/>
    <w:basedOn w:val="TableNormal00"/>
    <w:tblPr>
      <w:tblStyleRowBandSize w:val="1"/>
      <w:tblStyleColBandSize w:val="1"/>
      <w:tblCellMar>
        <w:top w:w="100.0" w:type="dxa"/>
        <w:left w:w="100.0" w:type="dxa"/>
        <w:bottom w:w="100.0" w:type="dxa"/>
        <w:right w:w="100.0" w:type="dxa"/>
      </w:tblCellMar>
    </w:tblPr>
  </w:style>
  <w:style w:type="table" w:styleId="Table4" w:customStyle="1">
    <w:name w:val="Table4"/>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5" w:customStyle="1">
    <w:name w:val="Table5"/>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6" w:customStyle="1">
    <w:name w:val="Table6"/>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10" w:customStyle="1">
    <w:name w:val="Table1_0"/>
    <w:basedOn w:val="TableNormal00"/>
    <w:tblPr>
      <w:tblStyleRowBandSize w:val="1"/>
      <w:tblStyleColBandSize w:val="1"/>
      <w:tblCellMar>
        <w:top w:w="100.0" w:type="dxa"/>
        <w:left w:w="100.0" w:type="dxa"/>
        <w:bottom w:w="100.0" w:type="dxa"/>
        <w:right w:w="100.0" w:type="dxa"/>
      </w:tblCellMar>
    </w:tblPr>
  </w:style>
  <w:style w:type="table" w:styleId="Table20" w:customStyle="1">
    <w:name w:val="Table2_0"/>
    <w:basedOn w:val="TableNormal00"/>
    <w:tblPr>
      <w:tblStyleRowBandSize w:val="1"/>
      <w:tblStyleColBandSize w:val="1"/>
      <w:tblCellMar>
        <w:top w:w="100.0" w:type="dxa"/>
        <w:left w:w="100.0" w:type="dxa"/>
        <w:bottom w:w="100.0" w:type="dxa"/>
        <w:right w:w="100.0" w:type="dxa"/>
      </w:tblCellMar>
    </w:tblPr>
  </w:style>
  <w:style w:type="table" w:styleId="Table30" w:customStyle="1">
    <w:name w:val="Table3_0"/>
    <w:basedOn w:val="TableNormal00"/>
    <w:tblPr>
      <w:tblStyleRowBandSize w:val="1"/>
      <w:tblStyleColBandSize w:val="1"/>
      <w:tblCellMar>
        <w:top w:w="100.0" w:type="dxa"/>
        <w:left w:w="100.0" w:type="dxa"/>
        <w:bottom w:w="100.0" w:type="dxa"/>
        <w:right w:w="100.0" w:type="dxa"/>
      </w:tblCellMar>
    </w:tblPr>
  </w:style>
  <w:style w:type="table" w:styleId="Table40" w:customStyle="1">
    <w:name w:val="Table4_0"/>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50" w:customStyle="1">
    <w:name w:val="Table5_0"/>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60" w:customStyle="1">
    <w:name w:val="Table6_0"/>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11" w:customStyle="1">
    <w:name w:val="Table1_1"/>
    <w:basedOn w:val="TableNormal00"/>
    <w:tblPr>
      <w:tblStyleRowBandSize w:val="1"/>
      <w:tblStyleColBandSize w:val="1"/>
      <w:tblCellMar>
        <w:top w:w="100.0" w:type="dxa"/>
        <w:left w:w="100.0" w:type="dxa"/>
        <w:bottom w:w="100.0" w:type="dxa"/>
        <w:right w:w="100.0" w:type="dxa"/>
      </w:tblCellMar>
    </w:tblPr>
  </w:style>
  <w:style w:type="table" w:styleId="Table21" w:customStyle="1">
    <w:name w:val="Table2_1"/>
    <w:basedOn w:val="TableNormal00"/>
    <w:tblPr>
      <w:tblStyleRowBandSize w:val="1"/>
      <w:tblStyleColBandSize w:val="1"/>
      <w:tblCellMar>
        <w:top w:w="100.0" w:type="dxa"/>
        <w:left w:w="100.0" w:type="dxa"/>
        <w:bottom w:w="100.0" w:type="dxa"/>
        <w:right w:w="100.0" w:type="dxa"/>
      </w:tblCellMar>
    </w:tblPr>
  </w:style>
  <w:style w:type="table" w:styleId="Table31" w:customStyle="1">
    <w:name w:val="Table3_1"/>
    <w:basedOn w:val="TableNormal00"/>
    <w:tblPr>
      <w:tblStyleRowBandSize w:val="1"/>
      <w:tblStyleColBandSize w:val="1"/>
      <w:tblCellMar>
        <w:top w:w="100.0" w:type="dxa"/>
        <w:left w:w="100.0" w:type="dxa"/>
        <w:bottom w:w="100.0" w:type="dxa"/>
        <w:right w:w="100.0" w:type="dxa"/>
      </w:tblCellMar>
    </w:tblPr>
  </w:style>
  <w:style w:type="table" w:styleId="Table41" w:customStyle="1">
    <w:name w:val="Table4_1"/>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51" w:customStyle="1">
    <w:name w:val="Table5_1"/>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61" w:customStyle="1">
    <w:name w:val="Table6_1"/>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12" w:customStyle="1">
    <w:name w:val="Table1_2"/>
    <w:basedOn w:val="TableNormal00"/>
    <w:tblPr>
      <w:tblStyleRowBandSize w:val="1"/>
      <w:tblStyleColBandSize w:val="1"/>
    </w:tblPr>
  </w:style>
  <w:style w:type="table" w:styleId="Table22" w:customStyle="1">
    <w:name w:val="Table2_2"/>
    <w:basedOn w:val="TableNormal00"/>
    <w:tblPr>
      <w:tblStyleRowBandSize w:val="1"/>
      <w:tblStyleColBandSize w:val="1"/>
    </w:tblPr>
  </w:style>
  <w:style w:type="table" w:styleId="Table32" w:customStyle="1">
    <w:name w:val="Table3_2"/>
    <w:basedOn w:val="TableNormal00"/>
    <w:tblPr>
      <w:tblStyleRowBandSize w:val="1"/>
      <w:tblStyleColBandSize w:val="1"/>
    </w:tblPr>
  </w:style>
  <w:style w:type="table" w:styleId="Table42" w:customStyle="1">
    <w:name w:val="Table4_2"/>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52" w:customStyle="1">
    <w:name w:val="Table5_2"/>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Table62" w:customStyle="1">
    <w:name w:val="Table6_2"/>
    <w:basedOn w:val="TableNormal0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paragraph" w:styleId="Textodecomentrio">
    <w:name w:val="annotation text"/>
    <w:basedOn w:val="Normal"/>
    <w:link w:val="TextodecomentrioCarter"/>
    <w:uiPriority w:val="99"/>
    <w:semiHidden w:val="1"/>
    <w:unhideWhenUsed w:val="1"/>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val="1"/>
    <w:rPr>
      <w:sz w:val="20"/>
      <w:szCs w:val="20"/>
    </w:rPr>
  </w:style>
  <w:style w:type="character" w:styleId="Refdecomentrio">
    <w:name w:val="annotation reference"/>
    <w:basedOn w:val="Tipodeletrapredefinidodopargrafo"/>
    <w:uiPriority w:val="99"/>
    <w:semiHidden w:val="1"/>
    <w:unhideWhenUsed w:val="1"/>
    <w:rPr>
      <w:sz w:val="16"/>
      <w:szCs w:val="16"/>
    </w:rPr>
  </w:style>
  <w:style w:type="paragraph" w:styleId="Cabealho">
    <w:name w:val="header"/>
    <w:basedOn w:val="Normal"/>
    <w:link w:val="CabealhoCarter"/>
    <w:uiPriority w:val="99"/>
    <w:unhideWhenUsed w:val="1"/>
    <w:rsid w:val="00571D4A"/>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571D4A"/>
  </w:style>
  <w:style w:type="paragraph" w:styleId="Rodap">
    <w:name w:val="footer"/>
    <w:basedOn w:val="Normal"/>
    <w:link w:val="RodapCarter"/>
    <w:uiPriority w:val="99"/>
    <w:unhideWhenUsed w:val="1"/>
    <w:rsid w:val="00571D4A"/>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571D4A"/>
  </w:style>
  <w:style w:type="paragraph" w:styleId="Assuntodecomentrio">
    <w:name w:val="annotation subject"/>
    <w:basedOn w:val="Textodecomentrio"/>
    <w:next w:val="Textodecomentrio"/>
    <w:link w:val="AssuntodecomentrioCarter"/>
    <w:uiPriority w:val="99"/>
    <w:semiHidden w:val="1"/>
    <w:unhideWhenUsed w:val="1"/>
    <w:rsid w:val="00033AC1"/>
    <w:rPr>
      <w:b w:val="1"/>
      <w:bCs w:val="1"/>
    </w:rPr>
  </w:style>
  <w:style w:type="character" w:styleId="AssuntodecomentrioCarter" w:customStyle="1">
    <w:name w:val="Assunto de comentário Caráter"/>
    <w:basedOn w:val="TextodecomentrioCarter"/>
    <w:link w:val="Assuntodecomentrio"/>
    <w:uiPriority w:val="99"/>
    <w:semiHidden w:val="1"/>
    <w:rsid w:val="00033AC1"/>
    <w:rPr>
      <w:b w:val="1"/>
      <w:bCs w:val="1"/>
      <w:sz w:val="20"/>
      <w:szCs w:val="20"/>
    </w:rPr>
  </w:style>
  <w:style w:type="paragraph" w:styleId="Cabealhodondice">
    <w:name w:val="TOC Heading"/>
    <w:basedOn w:val="Normal"/>
    <w:next w:val="Normal"/>
    <w:uiPriority w:val="39"/>
    <w:unhideWhenUsed w:val="1"/>
    <w:qFormat w:val="1"/>
    <w:rsid w:val="00960384"/>
    <w:pPr>
      <w:keepNext w:val="1"/>
      <w:keepLines w:val="1"/>
      <w:spacing w:after="0" w:before="480" w:line="276" w:lineRule="auto"/>
    </w:pPr>
    <w:rPr>
      <w:rFonts w:asciiTheme="majorHAnsi" w:cstheme="majorBidi" w:eastAsiaTheme="majorEastAsia" w:hAnsiTheme="majorHAnsi"/>
      <w:b w:val="1"/>
      <w:bCs w:val="1"/>
      <w:color w:val="365f91" w:themeColor="accent1" w:themeShade="0000BF"/>
      <w:sz w:val="28"/>
      <w:szCs w:val="28"/>
      <w:lang w:eastAsia="pt-PT" w:val="pt-PT"/>
    </w:rPr>
  </w:style>
  <w:style w:type="paragraph" w:styleId="ndice2">
    <w:name w:val="toc 2"/>
    <w:basedOn w:val="Normal"/>
    <w:next w:val="Normal"/>
    <w:autoRedefine w:val="1"/>
    <w:uiPriority w:val="39"/>
    <w:unhideWhenUsed w:val="1"/>
    <w:rsid w:val="00960384"/>
    <w:pPr>
      <w:spacing w:after="0" w:before="120"/>
      <w:ind w:left="240"/>
    </w:pPr>
    <w:rPr>
      <w:rFonts w:asciiTheme="minorHAnsi" w:hAnsiTheme="minorHAnsi"/>
      <w:b w:val="1"/>
      <w:bCs w:val="1"/>
      <w:sz w:val="22"/>
      <w:szCs w:val="22"/>
    </w:rPr>
  </w:style>
  <w:style w:type="paragraph" w:styleId="ndice1">
    <w:name w:val="toc 1"/>
    <w:basedOn w:val="Normal"/>
    <w:next w:val="Normal"/>
    <w:autoRedefine w:val="1"/>
    <w:uiPriority w:val="39"/>
    <w:unhideWhenUsed w:val="1"/>
    <w:rsid w:val="00960384"/>
    <w:pPr>
      <w:spacing w:after="0" w:before="120"/>
    </w:pPr>
    <w:rPr>
      <w:rFonts w:asciiTheme="minorHAnsi" w:hAnsiTheme="minorHAnsi"/>
      <w:b w:val="1"/>
      <w:bCs w:val="1"/>
      <w:i w:val="1"/>
      <w:iCs w:val="1"/>
    </w:rPr>
  </w:style>
  <w:style w:type="paragraph" w:styleId="ndice3">
    <w:name w:val="toc 3"/>
    <w:basedOn w:val="Normal"/>
    <w:next w:val="Normal"/>
    <w:autoRedefine w:val="1"/>
    <w:uiPriority w:val="39"/>
    <w:unhideWhenUsed w:val="1"/>
    <w:rsid w:val="00960384"/>
    <w:pPr>
      <w:spacing w:after="0"/>
      <w:ind w:left="480"/>
    </w:pPr>
    <w:rPr>
      <w:rFonts w:asciiTheme="minorHAnsi" w:hAnsiTheme="minorHAnsi"/>
      <w:sz w:val="20"/>
      <w:szCs w:val="20"/>
    </w:rPr>
  </w:style>
  <w:style w:type="character" w:styleId="Hiperligao">
    <w:name w:val="Hyperlink"/>
    <w:basedOn w:val="Tipodeletrapredefinidodopargrafo"/>
    <w:uiPriority w:val="99"/>
    <w:unhideWhenUsed w:val="1"/>
    <w:rsid w:val="00960384"/>
    <w:rPr>
      <w:color w:val="0000ff" w:themeColor="hyperlink"/>
      <w:u w:val="single"/>
    </w:rPr>
  </w:style>
  <w:style w:type="paragraph" w:styleId="ndice4">
    <w:name w:val="toc 4"/>
    <w:basedOn w:val="Normal"/>
    <w:next w:val="Normal"/>
    <w:autoRedefine w:val="1"/>
    <w:uiPriority w:val="39"/>
    <w:semiHidden w:val="1"/>
    <w:unhideWhenUsed w:val="1"/>
    <w:rsid w:val="00960384"/>
    <w:pPr>
      <w:spacing w:after="0"/>
      <w:ind w:left="720"/>
    </w:pPr>
    <w:rPr>
      <w:rFonts w:asciiTheme="minorHAnsi" w:hAnsiTheme="minorHAnsi"/>
      <w:sz w:val="20"/>
      <w:szCs w:val="20"/>
    </w:rPr>
  </w:style>
  <w:style w:type="paragraph" w:styleId="ndice5">
    <w:name w:val="toc 5"/>
    <w:basedOn w:val="Normal"/>
    <w:next w:val="Normal"/>
    <w:autoRedefine w:val="1"/>
    <w:uiPriority w:val="39"/>
    <w:semiHidden w:val="1"/>
    <w:unhideWhenUsed w:val="1"/>
    <w:rsid w:val="00960384"/>
    <w:pPr>
      <w:spacing w:after="0"/>
      <w:ind w:left="960"/>
    </w:pPr>
    <w:rPr>
      <w:rFonts w:asciiTheme="minorHAnsi" w:hAnsiTheme="minorHAnsi"/>
      <w:sz w:val="20"/>
      <w:szCs w:val="20"/>
    </w:rPr>
  </w:style>
  <w:style w:type="paragraph" w:styleId="ndice6">
    <w:name w:val="toc 6"/>
    <w:basedOn w:val="Normal"/>
    <w:next w:val="Normal"/>
    <w:autoRedefine w:val="1"/>
    <w:uiPriority w:val="39"/>
    <w:semiHidden w:val="1"/>
    <w:unhideWhenUsed w:val="1"/>
    <w:rsid w:val="00960384"/>
    <w:pPr>
      <w:spacing w:after="0"/>
      <w:ind w:left="1200"/>
    </w:pPr>
    <w:rPr>
      <w:rFonts w:asciiTheme="minorHAnsi" w:hAnsiTheme="minorHAnsi"/>
      <w:sz w:val="20"/>
      <w:szCs w:val="20"/>
    </w:rPr>
  </w:style>
  <w:style w:type="paragraph" w:styleId="ndice7">
    <w:name w:val="toc 7"/>
    <w:basedOn w:val="Normal"/>
    <w:next w:val="Normal"/>
    <w:autoRedefine w:val="1"/>
    <w:uiPriority w:val="39"/>
    <w:semiHidden w:val="1"/>
    <w:unhideWhenUsed w:val="1"/>
    <w:rsid w:val="00960384"/>
    <w:pPr>
      <w:spacing w:after="0"/>
      <w:ind w:left="1440"/>
    </w:pPr>
    <w:rPr>
      <w:rFonts w:asciiTheme="minorHAnsi" w:hAnsiTheme="minorHAnsi"/>
      <w:sz w:val="20"/>
      <w:szCs w:val="20"/>
    </w:rPr>
  </w:style>
  <w:style w:type="paragraph" w:styleId="ndice8">
    <w:name w:val="toc 8"/>
    <w:basedOn w:val="Normal"/>
    <w:next w:val="Normal"/>
    <w:autoRedefine w:val="1"/>
    <w:uiPriority w:val="39"/>
    <w:semiHidden w:val="1"/>
    <w:unhideWhenUsed w:val="1"/>
    <w:rsid w:val="00960384"/>
    <w:pPr>
      <w:spacing w:after="0"/>
      <w:ind w:left="1680"/>
    </w:pPr>
    <w:rPr>
      <w:rFonts w:asciiTheme="minorHAnsi" w:hAnsiTheme="minorHAnsi"/>
      <w:sz w:val="20"/>
      <w:szCs w:val="20"/>
    </w:rPr>
  </w:style>
  <w:style w:type="paragraph" w:styleId="ndice9">
    <w:name w:val="toc 9"/>
    <w:basedOn w:val="Normal"/>
    <w:next w:val="Normal"/>
    <w:autoRedefine w:val="1"/>
    <w:uiPriority w:val="39"/>
    <w:semiHidden w:val="1"/>
    <w:unhideWhenUsed w:val="1"/>
    <w:rsid w:val="00960384"/>
    <w:pPr>
      <w:spacing w:after="0"/>
      <w:ind w:left="1920"/>
    </w:pPr>
    <w:rPr>
      <w:rFonts w:asciiTheme="minorHAnsi" w:hAnsiTheme="minorHAnsi"/>
      <w:sz w:val="20"/>
      <w:szCs w:val="20"/>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000000"/>
      <w:sz w:val="60"/>
      <w:szCs w:val="6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 w:type="table" w:styleId="Table5">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 w:type="table" w:styleId="Table6">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20" Type="http://schemas.openxmlformats.org/officeDocument/2006/relationships/hyperlink" Target="https://resources.theglobalfund.org/media/0aeohyro/cr_c19rm-oxygen-plant-daily-maintenance-checklist-values_table_pt.pdf" TargetMode="External"/><Relationship Id="rId22" Type="http://schemas.openxmlformats.org/officeDocument/2006/relationships/hyperlink" Target="https://resources.theglobalfund.org/media/qqgnghi1/cr_c19rm-psa-plant-repair-log_form_pt.pdf" TargetMode="External"/><Relationship Id="rId21" Type="http://schemas.openxmlformats.org/officeDocument/2006/relationships/hyperlink" Target="https://resources.theglobalfund.org/media/cxehbc2m/cr_c19rm-psa-plant-preventative-maintenance-log_form_pt.pdf" TargetMode="External"/><Relationship Id="rId24" Type="http://schemas.openxmlformats.org/officeDocument/2006/relationships/hyperlink" Target="https://resources.theglobalfund.org/media/vq2ntakk/cr_c19rm-oxygen-plant-service-contract_overview_pt.pdf" TargetMode="External"/><Relationship Id="rId23" Type="http://schemas.openxmlformats.org/officeDocument/2006/relationships/hyperlink" Target="https://resources.theglobalfund.org/media/12bh3k4n/cr_c19rm-oxygen-plant-warranty-contract_overview_p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resources.theglobalfund.org/media/b03le01g/cr_c19rm-psa-plant-maintenance-toolkit-inventory-booster-compressors_list_pt.pdf" TargetMode="External"/><Relationship Id="rId25" Type="http://schemas.openxmlformats.org/officeDocument/2006/relationships/hyperlink" Target="https://resources.theglobalfund.org/media/ezkdlt2b/cr_c19rm-psa-plant-maintenance-toolkit-inventory_list_pt.pdf" TargetMode="External"/><Relationship Id="rId28" Type="http://schemas.openxmlformats.org/officeDocument/2006/relationships/hyperlink" Target="https://resources.theglobalfund.org/media/j5rfujnh/cr_c19rm-oxygen-plant-spare-parts-stock-list_template_pt.xlsx" TargetMode="External"/><Relationship Id="rId27" Type="http://schemas.openxmlformats.org/officeDocument/2006/relationships/hyperlink" Target="https://resources.theglobalfund.org/media/j5rfujnh/cr_c19rm-oxygen-plant-spare-parts-stock-list_template_pt.xls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resources.theglobalfund.org/media/whcoysz0/cr_c19rm-oxygen-plant-budget_template_pt.xlsx" TargetMode="Externa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hyperlink" Target="https://resources.theglobalfund.org/media/324bjqek/cr_c19rm-oxygen-plant-staffing_technical-briefing-note_pt.pdf" TargetMode="External"/><Relationship Id="rId10" Type="http://schemas.openxmlformats.org/officeDocument/2006/relationships/hyperlink" Target="https://resources.theglobalfund.org/media/324bjqek/cr_c19rm-oxygen-plant-staffing_technical-briefing-note_pt.pdf" TargetMode="External"/><Relationship Id="rId13" Type="http://schemas.openxmlformats.org/officeDocument/2006/relationships/hyperlink" Target="https://resources.theglobalfund.org/media/whcoysz0/cr_c19rm-oxygen-plant-budget_template_pt.xlsx" TargetMode="External"/><Relationship Id="rId12" Type="http://schemas.openxmlformats.org/officeDocument/2006/relationships/hyperlink" Target="https://resources.theglobalfund.org/media/whcoysz0/cr_c19rm-oxygen-plant-budget_template_pt.xlsx" TargetMode="External"/><Relationship Id="rId15" Type="http://schemas.openxmlformats.org/officeDocument/2006/relationships/hyperlink" Target="https://resources.theglobalfund.org/media/whcoysz0/cr_c19rm-oxygen-plant-budget_template_pt.xlsx" TargetMode="External"/><Relationship Id="rId14" Type="http://schemas.openxmlformats.org/officeDocument/2006/relationships/hyperlink" Target="https://resources.theglobalfund.org/media/whcoysz0/cr_c19rm-oxygen-plant-budget_template_pt.xlsx" TargetMode="External"/><Relationship Id="rId17" Type="http://schemas.openxmlformats.org/officeDocument/2006/relationships/hyperlink" Target="https://resources.theglobalfund.org/media/whcoysz0/cr_c19rm-oxygen-plant-budget_template_pt.xlsx" TargetMode="External"/><Relationship Id="rId16" Type="http://schemas.openxmlformats.org/officeDocument/2006/relationships/hyperlink" Target="https://resources.theglobalfund.org/media/whcoysz0/cr_c19rm-oxygen-plant-budget_template_pt.xlsx" TargetMode="External"/><Relationship Id="rId19" Type="http://schemas.openxmlformats.org/officeDocument/2006/relationships/hyperlink" Target="https://resources.theglobalfund.org/media/qyqaib52/cr_c19rm-psa-plant-daily-maintenance_checklist_pt.pdf" TargetMode="External"/><Relationship Id="rId18" Type="http://schemas.openxmlformats.org/officeDocument/2006/relationships/hyperlink" Target="https://resources.theglobalfund.org/media/i33dk2id/cr_c19rm-spare-parts-consumables-oxygen-plants_overview_p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Black-regular.ttf"/><Relationship Id="rId6"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qcHP1ZNfhaD+1nRL88/TYZRfA==">CgMxLjAaJAoBMBIfCh0IB0IZCgVBcmltbxIQQXJpYWwgVW5pY29kZSBNUxokCgExEh8KHQgHQhkKBUFyaWFsEhBBcmlhbCBVbmljb2RlIE1TMg5oLm1qNTd3eTJzeGZoZDIOaC5ld255cWtqdmQ1MWwyDmguYnJmbWNjNHJ0emdnMg5oLmZyMjZkd282ZGc5aTINaC5qNXV6d3M1bHF6NjINaC5udG81Z2hhMWhwYTIOaC5ydzRpbDJtb2QyODEyDmguZWEybmg0NXVycGF4Mg5oLmlqbGh0a3VtdzAzNTIOaC5sa2Jqd3MyY3hvenYyDmguOXVkY21va3ppdzF6Mg5oLjJqNTBvZHZvOXQyaTIOaC50Ymt3ODBrYWswd2oyDmgubWltZGx2Y2JvZDVmMg5oLnRnZ3JkdzNrbWN2NzIOaC40MW52NzRiNTdwY2UyDmguMTRwbWVmeHQ3cnY5Mg5oLjIxeXhwNjluZmk5djINaC50OHQ0dXpxaDd4cDIOaC5ieDM2b252cXhyZGYyDmgucnNwdWg1cWZ0ZnFiMg5oLm81Y2ZqYzY5ZTQzejIOaC5wZDMwbXJ0bmRxc24yDmguc25qY2doZWl1YmQ4Mg5oLndncTVpN2Zub3g2azIOaC5kdGJ3NWg2Y2xicm8yDmguMmhnY3V0eGlzcmdjMg5oLmIzcHZsbzNtZ3VxdjIOaC5vdzM0MjB4ajl3a2IyDmgueDVjeGhudjRlaDY5Mg5oLm0zenV0dmcwdHBvNDIOaC5lN2Z4Y3R1amg2bzMyDmgubjMxNzNhZjI5bG5pMg5oLnYzemRnNHdrd3k1djIOaC5qenQ4YmozM2o4YmYyDmguemYzOG96c3QzeDQzMg5oLnFjYTdweGZ2Z2c1bDIOaC4zbzcyeGxmbDlzZHAyDmgub3pkbWJpMXRqcnN5Mg5oLjEwYTRtdTJ2d3h6ODIOaC5jaXoxcWwzMms4OGoyDmgudDR4ZHR6Mjkwb2Q4Mg5oLmd5aTFiZmwzcjVoODIOaC5wZHpmd3o0cjlwMnEyDmguanZxeXU3cTR6eW5lMg5oLjRzeXF1dnljOW56dDIOaC5qMHQ5N3cxN2VwdTIyDmguMjg0YzNmaG9maGpqMg5oLmZ6dnRyZHlvd3VmbTIOaC42c3l6YncxejQyeHgyDmgudHl4MmRrbmRqeGw2Mg5oLjQyb3hzMjRpZWFwbTIOaC5objl6amMza2o2MTEyDmgudW9iMzRtNHRxcHZhMg5oLjd6cnMwdXpmMGxzNzINaC5peWVvNjdwNnN0cTIOaC4zNzZubndvNWE4eTUyDmgudXY2cnlnejBxamYzMg5oLmJyeXk3bWRyMjNpcDIOaC56NW93Z3cyOGNrOXUyDmguOWVndTdmY3V5YWRqMg5oLjdneG55NmJhbnFmaDIOaC5iNjRtNWJrb2dtYWUyDmgudTQycDl2YWl4OWhrMg5oLjdxZWdqZmEybzZvbjIOaC52NDloeml0bXFuZXQyDmgubzBuMW90OXN3anpyOAByITFDLVByN2hGcXB6NWN2bENqT2ItVWpWTFJsYURKRDc2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2025-10-03T13:06:00Z</dcterms:created>
</cp:coreProperties>
</file>