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86E99" w14:textId="6A3EAF35" w:rsidR="00F90F48" w:rsidRPr="00232F80" w:rsidRDefault="00F87A63" w:rsidP="00AB3925">
      <w:pPr>
        <w:pStyle w:val="Title"/>
        <w:spacing w:line="254" w:lineRule="auto"/>
        <w:jc w:val="both"/>
        <w:rPr>
          <w:sz w:val="32"/>
          <w:szCs w:val="32"/>
        </w:rPr>
      </w:pPr>
      <w:r w:rsidRPr="00232F80">
        <w:rPr>
          <w:sz w:val="32"/>
          <w:szCs w:val="32"/>
        </w:rPr>
        <w:t>Local</w:t>
      </w:r>
      <w:r w:rsidRPr="00232F80">
        <w:rPr>
          <w:spacing w:val="-12"/>
          <w:sz w:val="32"/>
          <w:szCs w:val="32"/>
        </w:rPr>
        <w:t xml:space="preserve"> </w:t>
      </w:r>
      <w:r w:rsidRPr="00232F80">
        <w:rPr>
          <w:sz w:val="32"/>
          <w:szCs w:val="32"/>
        </w:rPr>
        <w:t>Fund</w:t>
      </w:r>
      <w:r w:rsidRPr="00232F80">
        <w:rPr>
          <w:spacing w:val="-13"/>
          <w:sz w:val="32"/>
          <w:szCs w:val="32"/>
        </w:rPr>
        <w:t xml:space="preserve"> </w:t>
      </w:r>
      <w:r w:rsidRPr="00232F80">
        <w:rPr>
          <w:sz w:val="32"/>
          <w:szCs w:val="32"/>
        </w:rPr>
        <w:t>Agent</w:t>
      </w:r>
      <w:r w:rsidRPr="00232F80">
        <w:rPr>
          <w:spacing w:val="-8"/>
          <w:sz w:val="32"/>
          <w:szCs w:val="32"/>
        </w:rPr>
        <w:t xml:space="preserve"> </w:t>
      </w:r>
      <w:r w:rsidRPr="00232F80">
        <w:rPr>
          <w:sz w:val="32"/>
          <w:szCs w:val="32"/>
        </w:rPr>
        <w:t>Verification</w:t>
      </w:r>
      <w:r w:rsidRPr="00232F80">
        <w:rPr>
          <w:spacing w:val="-12"/>
          <w:sz w:val="32"/>
          <w:szCs w:val="32"/>
        </w:rPr>
        <w:t xml:space="preserve"> </w:t>
      </w:r>
      <w:r w:rsidR="00232F80" w:rsidRPr="00232F80">
        <w:rPr>
          <w:sz w:val="32"/>
          <w:szCs w:val="32"/>
        </w:rPr>
        <w:t xml:space="preserve">of </w:t>
      </w:r>
      <w:r w:rsidR="00F24B33" w:rsidRPr="00F24B33">
        <w:rPr>
          <w:sz w:val="32"/>
          <w:szCs w:val="32"/>
        </w:rPr>
        <w:t>Principal Recipient</w:t>
      </w:r>
      <w:r w:rsidR="00F24B33">
        <w:rPr>
          <w:sz w:val="32"/>
          <w:szCs w:val="32"/>
        </w:rPr>
        <w:t xml:space="preserve"> (</w:t>
      </w:r>
      <w:r w:rsidR="00A270D3">
        <w:rPr>
          <w:sz w:val="32"/>
          <w:szCs w:val="32"/>
        </w:rPr>
        <w:t>PR</w:t>
      </w:r>
      <w:r w:rsidR="00F24B33">
        <w:rPr>
          <w:sz w:val="32"/>
          <w:szCs w:val="32"/>
        </w:rPr>
        <w:t>)</w:t>
      </w:r>
      <w:r w:rsidR="00A270D3">
        <w:rPr>
          <w:sz w:val="32"/>
          <w:szCs w:val="32"/>
        </w:rPr>
        <w:t xml:space="preserve"> </w:t>
      </w:r>
      <w:r w:rsidR="00232F80" w:rsidRPr="00232F80">
        <w:rPr>
          <w:sz w:val="32"/>
          <w:szCs w:val="32"/>
        </w:rPr>
        <w:t xml:space="preserve">compliance </w:t>
      </w:r>
      <w:r w:rsidR="009166D7" w:rsidRPr="00232F80">
        <w:rPr>
          <w:sz w:val="32"/>
          <w:szCs w:val="32"/>
        </w:rPr>
        <w:t>with</w:t>
      </w:r>
      <w:r w:rsidR="00232F80" w:rsidRPr="00232F80">
        <w:rPr>
          <w:sz w:val="32"/>
          <w:szCs w:val="32"/>
        </w:rPr>
        <w:t xml:space="preserve"> </w:t>
      </w:r>
      <w:r w:rsidR="00C15F8D">
        <w:rPr>
          <w:sz w:val="32"/>
          <w:szCs w:val="32"/>
        </w:rPr>
        <w:t>G</w:t>
      </w:r>
      <w:r w:rsidR="00232F80" w:rsidRPr="00232F80">
        <w:rPr>
          <w:sz w:val="32"/>
          <w:szCs w:val="32"/>
        </w:rPr>
        <w:t>ood</w:t>
      </w:r>
      <w:r w:rsidR="007371A2">
        <w:rPr>
          <w:sz w:val="32"/>
          <w:szCs w:val="32"/>
        </w:rPr>
        <w:t xml:space="preserve"> </w:t>
      </w:r>
      <w:r w:rsidR="00407538">
        <w:rPr>
          <w:sz w:val="32"/>
          <w:szCs w:val="32"/>
        </w:rPr>
        <w:t>S</w:t>
      </w:r>
      <w:r w:rsidR="00232F80" w:rsidRPr="00232F80">
        <w:rPr>
          <w:sz w:val="32"/>
          <w:szCs w:val="32"/>
        </w:rPr>
        <w:t xml:space="preserve">torage and </w:t>
      </w:r>
      <w:r w:rsidR="00407538">
        <w:rPr>
          <w:sz w:val="32"/>
          <w:szCs w:val="32"/>
        </w:rPr>
        <w:t>D</w:t>
      </w:r>
      <w:r w:rsidR="00232F80" w:rsidRPr="00232F80">
        <w:rPr>
          <w:sz w:val="32"/>
          <w:szCs w:val="32"/>
        </w:rPr>
        <w:t xml:space="preserve">istribution </w:t>
      </w:r>
      <w:r w:rsidR="00407538">
        <w:rPr>
          <w:sz w:val="32"/>
          <w:szCs w:val="32"/>
        </w:rPr>
        <w:t>P</w:t>
      </w:r>
      <w:r w:rsidR="00232F80" w:rsidRPr="00232F80">
        <w:rPr>
          <w:sz w:val="32"/>
          <w:szCs w:val="32"/>
        </w:rPr>
        <w:t>ractices</w:t>
      </w:r>
      <w:r w:rsidR="00046045">
        <w:rPr>
          <w:rStyle w:val="FootnoteReference"/>
          <w:sz w:val="32"/>
          <w:szCs w:val="32"/>
        </w:rPr>
        <w:footnoteReference w:id="2"/>
      </w:r>
      <w:r w:rsidR="00232F80" w:rsidRPr="00232F80">
        <w:rPr>
          <w:sz w:val="32"/>
          <w:szCs w:val="32"/>
        </w:rPr>
        <w:t xml:space="preserve"> (GSDP)</w:t>
      </w:r>
    </w:p>
    <w:p w14:paraId="1FDB1423" w14:textId="77777777" w:rsidR="005E1682" w:rsidRPr="005E1682" w:rsidRDefault="005E1682" w:rsidP="00AB3925">
      <w:pPr>
        <w:pStyle w:val="Subtitle"/>
        <w:jc w:val="both"/>
      </w:pPr>
    </w:p>
    <w:p w14:paraId="4E37CC68" w14:textId="23D98136" w:rsidR="00E81AC0" w:rsidRDefault="00F87A63" w:rsidP="00AB3925">
      <w:pPr>
        <w:pStyle w:val="Subtitle"/>
        <w:spacing w:after="840"/>
        <w:jc w:val="both"/>
        <w:rPr>
          <w:sz w:val="22"/>
          <w:szCs w:val="22"/>
        </w:rPr>
      </w:pPr>
      <w:r w:rsidRPr="00ED6655">
        <w:rPr>
          <w:sz w:val="22"/>
          <w:szCs w:val="22"/>
        </w:rPr>
        <w:t>VERSION:</w:t>
      </w:r>
      <w:r w:rsidRPr="00ED6655">
        <w:rPr>
          <w:spacing w:val="-9"/>
          <w:sz w:val="22"/>
          <w:szCs w:val="22"/>
        </w:rPr>
        <w:t xml:space="preserve"> </w:t>
      </w:r>
      <w:r w:rsidR="00BC03EE">
        <w:rPr>
          <w:sz w:val="22"/>
          <w:szCs w:val="22"/>
        </w:rPr>
        <w:t>April</w:t>
      </w:r>
      <w:r w:rsidR="00061E7D" w:rsidRPr="00ED6655">
        <w:rPr>
          <w:sz w:val="22"/>
          <w:szCs w:val="22"/>
        </w:rPr>
        <w:t xml:space="preserve"> </w:t>
      </w:r>
      <w:r w:rsidR="001353B7" w:rsidRPr="00ED6655">
        <w:rPr>
          <w:sz w:val="22"/>
          <w:szCs w:val="22"/>
        </w:rPr>
        <w:t>2026</w:t>
      </w:r>
    </w:p>
    <w:p w14:paraId="7ACE83C9" w14:textId="654B5C9C" w:rsidR="009E10F3" w:rsidRPr="000E4D89" w:rsidRDefault="009E10F3" w:rsidP="00AB3925">
      <w:pPr>
        <w:pStyle w:val="Heading1NonNumbered"/>
        <w:jc w:val="both"/>
      </w:pPr>
      <w:r w:rsidRPr="000E4D89">
        <w:t>Objectives</w:t>
      </w:r>
    </w:p>
    <w:p w14:paraId="20705F10" w14:textId="1AFEBED7" w:rsidR="00D04F75" w:rsidRDefault="00881DB4" w:rsidP="00AB3925">
      <w:pPr>
        <w:pStyle w:val="BodyText"/>
        <w:spacing w:before="141" w:line="256" w:lineRule="auto"/>
        <w:ind w:right="232"/>
        <w:jc w:val="both"/>
        <w:rPr>
          <w:sz w:val="22"/>
        </w:rPr>
      </w:pPr>
      <w:r w:rsidRPr="13A40D59">
        <w:rPr>
          <w:sz w:val="22"/>
        </w:rPr>
        <w:t>The primary objective of this verification</w:t>
      </w:r>
      <w:r w:rsidR="000D274D" w:rsidRPr="13A40D59">
        <w:rPr>
          <w:sz w:val="22"/>
        </w:rPr>
        <w:t xml:space="preserve"> </w:t>
      </w:r>
      <w:r w:rsidRPr="13A40D59">
        <w:rPr>
          <w:sz w:val="22"/>
        </w:rPr>
        <w:t>is to assess whether Principal Recipients (PR) comply with</w:t>
      </w:r>
      <w:r w:rsidR="00D04F75" w:rsidRPr="13A40D59">
        <w:rPr>
          <w:sz w:val="22"/>
        </w:rPr>
        <w:t xml:space="preserve">: </w:t>
      </w:r>
    </w:p>
    <w:p w14:paraId="7AB66889" w14:textId="4B66B34B" w:rsidR="00D04F75" w:rsidRDefault="00881DB4" w:rsidP="00AB3925">
      <w:pPr>
        <w:pStyle w:val="BodyText"/>
        <w:numPr>
          <w:ilvl w:val="0"/>
          <w:numId w:val="21"/>
        </w:numPr>
        <w:spacing w:before="141" w:line="256" w:lineRule="auto"/>
        <w:ind w:right="232"/>
        <w:jc w:val="both"/>
        <w:rPr>
          <w:sz w:val="22"/>
          <w:szCs w:val="20"/>
        </w:rPr>
      </w:pPr>
      <w:r w:rsidRPr="00B052B8">
        <w:rPr>
          <w:sz w:val="22"/>
          <w:szCs w:val="20"/>
        </w:rPr>
        <w:t>the Global Fund’s (GF) Quality Assurance (QA) requirements for Good</w:t>
      </w:r>
      <w:r w:rsidR="007371A2">
        <w:rPr>
          <w:sz w:val="22"/>
          <w:szCs w:val="20"/>
        </w:rPr>
        <w:t xml:space="preserve"> </w:t>
      </w:r>
      <w:r w:rsidRPr="00B052B8">
        <w:rPr>
          <w:sz w:val="22"/>
          <w:szCs w:val="20"/>
        </w:rPr>
        <w:t>Storage and Distribution Practices (GSDP)</w:t>
      </w:r>
      <w:r w:rsidRPr="00171194">
        <w:rPr>
          <w:sz w:val="22"/>
          <w:szCs w:val="20"/>
        </w:rPr>
        <w:t xml:space="preserve"> in relation to health products procured with GF resources. </w:t>
      </w:r>
    </w:p>
    <w:p w14:paraId="3E458E5C" w14:textId="50EDDC3F" w:rsidR="00D04F75" w:rsidRDefault="00900F0C" w:rsidP="00AB3925">
      <w:pPr>
        <w:pStyle w:val="BodyText"/>
        <w:numPr>
          <w:ilvl w:val="0"/>
          <w:numId w:val="21"/>
        </w:numPr>
        <w:spacing w:before="141" w:line="256" w:lineRule="auto"/>
        <w:ind w:right="232"/>
        <w:jc w:val="both"/>
        <w:rPr>
          <w:sz w:val="22"/>
          <w:szCs w:val="20"/>
        </w:rPr>
      </w:pPr>
      <w:r w:rsidRPr="00900F0C">
        <w:rPr>
          <w:sz w:val="22"/>
          <w:szCs w:val="20"/>
        </w:rPr>
        <w:t>requirements for licensing of health products (HPs) storage &amp; distribution premises by the regulatory authority (</w:t>
      </w:r>
      <w:r w:rsidR="00070EAA">
        <w:rPr>
          <w:sz w:val="22"/>
          <w:szCs w:val="20"/>
        </w:rPr>
        <w:t>RA)</w:t>
      </w:r>
      <w:r w:rsidR="00D04F75" w:rsidRPr="00D04F75">
        <w:rPr>
          <w:sz w:val="22"/>
          <w:szCs w:val="20"/>
        </w:rPr>
        <w:t>.</w:t>
      </w:r>
    </w:p>
    <w:p w14:paraId="51765425" w14:textId="49C90991" w:rsidR="00881DB4" w:rsidRPr="00171194" w:rsidRDefault="00881DB4" w:rsidP="00AB3925">
      <w:pPr>
        <w:pStyle w:val="BodyText"/>
        <w:spacing w:before="141" w:line="256" w:lineRule="auto"/>
        <w:ind w:right="232"/>
        <w:jc w:val="both"/>
        <w:rPr>
          <w:sz w:val="22"/>
          <w:szCs w:val="20"/>
        </w:rPr>
      </w:pPr>
      <w:r w:rsidRPr="00171194">
        <w:rPr>
          <w:sz w:val="22"/>
          <w:szCs w:val="20"/>
        </w:rPr>
        <w:t xml:space="preserve">This compliance verification aims to ensure that all </w:t>
      </w:r>
      <w:r w:rsidR="000A5BD5">
        <w:rPr>
          <w:sz w:val="22"/>
          <w:szCs w:val="20"/>
        </w:rPr>
        <w:t xml:space="preserve">health </w:t>
      </w:r>
      <w:r w:rsidRPr="00171194">
        <w:rPr>
          <w:sz w:val="22"/>
          <w:szCs w:val="20"/>
        </w:rPr>
        <w:t xml:space="preserve">products are </w:t>
      </w:r>
      <w:r w:rsidR="00FB17CA" w:rsidRPr="00171194">
        <w:rPr>
          <w:sz w:val="22"/>
          <w:szCs w:val="20"/>
        </w:rPr>
        <w:t>handled,</w:t>
      </w:r>
      <w:r w:rsidR="00FB17CA" w:rsidRPr="00171194" w:rsidDel="00FB17CA">
        <w:rPr>
          <w:sz w:val="22"/>
          <w:szCs w:val="20"/>
        </w:rPr>
        <w:t xml:space="preserve"> </w:t>
      </w:r>
      <w:r w:rsidR="00FB17CA">
        <w:rPr>
          <w:sz w:val="22"/>
          <w:szCs w:val="20"/>
        </w:rPr>
        <w:t>stored</w:t>
      </w:r>
      <w:r w:rsidRPr="00171194">
        <w:rPr>
          <w:sz w:val="22"/>
          <w:szCs w:val="20"/>
        </w:rPr>
        <w:t xml:space="preserve">, </w:t>
      </w:r>
      <w:r w:rsidR="00F3311A">
        <w:rPr>
          <w:sz w:val="22"/>
          <w:szCs w:val="20"/>
        </w:rPr>
        <w:t xml:space="preserve">transported </w:t>
      </w:r>
      <w:r w:rsidRPr="00171194">
        <w:rPr>
          <w:sz w:val="22"/>
          <w:szCs w:val="20"/>
        </w:rPr>
        <w:t>and distributed according to the required standards to minimize risks to public health and safety.</w:t>
      </w:r>
    </w:p>
    <w:p w14:paraId="7FD3BED9" w14:textId="77777777" w:rsidR="009E10F3" w:rsidRDefault="009E10F3" w:rsidP="00AB3925">
      <w:pPr>
        <w:pStyle w:val="BodyText"/>
        <w:spacing w:before="9"/>
        <w:jc w:val="both"/>
        <w:rPr>
          <w:sz w:val="20"/>
        </w:rPr>
      </w:pPr>
    </w:p>
    <w:p w14:paraId="794D8436" w14:textId="77777777" w:rsidR="009E10F3" w:rsidRPr="00A55DC7" w:rsidRDefault="009E10F3" w:rsidP="00AB3925">
      <w:pPr>
        <w:pStyle w:val="Heading1NonNumbered"/>
        <w:jc w:val="both"/>
      </w:pPr>
      <w:r w:rsidRPr="00A55DC7">
        <w:t>Background</w:t>
      </w:r>
    </w:p>
    <w:p w14:paraId="673CCD45" w14:textId="3072D66D" w:rsidR="00586D7F" w:rsidRPr="00A905A5" w:rsidRDefault="07BC8C88" w:rsidP="00AB3925">
      <w:pPr>
        <w:spacing w:after="120"/>
        <w:jc w:val="both"/>
        <w:rPr>
          <w:rFonts w:eastAsia="Calibri" w:cs="Arial"/>
          <w:sz w:val="22"/>
        </w:rPr>
      </w:pPr>
      <w:r w:rsidRPr="516088E6">
        <w:rPr>
          <w:rFonts w:eastAsia="Calibri" w:cs="Arial"/>
          <w:sz w:val="22"/>
        </w:rPr>
        <w:t>Transportation</w:t>
      </w:r>
      <w:r w:rsidR="127BB0FA" w:rsidRPr="516088E6">
        <w:rPr>
          <w:rFonts w:eastAsia="Calibri" w:cs="Arial"/>
          <w:sz w:val="22"/>
        </w:rPr>
        <w:t xml:space="preserve">, </w:t>
      </w:r>
      <w:r w:rsidR="57FD2289" w:rsidRPr="516088E6">
        <w:rPr>
          <w:rFonts w:eastAsia="Calibri" w:cs="Arial"/>
          <w:sz w:val="22"/>
        </w:rPr>
        <w:t>s</w:t>
      </w:r>
      <w:r w:rsidR="1CA9698E" w:rsidRPr="66D89B9E">
        <w:rPr>
          <w:rFonts w:eastAsia="Calibri" w:cs="Arial"/>
          <w:sz w:val="22"/>
        </w:rPr>
        <w:t xml:space="preserve">torage and distribution are integral components of the supply chain management of </w:t>
      </w:r>
      <w:r w:rsidR="09FA15D0" w:rsidRPr="66D89B9E">
        <w:rPr>
          <w:rFonts w:eastAsia="Calibri" w:cs="Arial"/>
          <w:sz w:val="22"/>
        </w:rPr>
        <w:t xml:space="preserve">health </w:t>
      </w:r>
      <w:r w:rsidR="1CA9698E" w:rsidRPr="66D89B9E">
        <w:rPr>
          <w:rFonts w:eastAsia="Calibri" w:cs="Arial"/>
          <w:sz w:val="22"/>
        </w:rPr>
        <w:t>products. Effective management of these activities ensures that health products maintain their quality</w:t>
      </w:r>
      <w:r w:rsidR="00775797">
        <w:rPr>
          <w:rStyle w:val="FootnoteReference"/>
          <w:rFonts w:eastAsia="Calibri" w:cs="Arial"/>
          <w:sz w:val="22"/>
        </w:rPr>
        <w:footnoteReference w:id="3"/>
      </w:r>
      <w:r w:rsidR="1CA9698E" w:rsidRPr="66D89B9E">
        <w:rPr>
          <w:rFonts w:eastAsia="Calibri" w:cs="Arial"/>
          <w:sz w:val="22"/>
        </w:rPr>
        <w:t xml:space="preserve"> throughout the supply chain, from procurement to delivery.</w:t>
      </w:r>
      <w:r w:rsidR="3014B244">
        <w:t xml:space="preserve"> </w:t>
      </w:r>
      <w:r w:rsidR="3014B244" w:rsidRPr="516088E6">
        <w:rPr>
          <w:rFonts w:eastAsia="Calibri" w:cs="Arial"/>
          <w:sz w:val="22"/>
        </w:rPr>
        <w:t>Principal Recipients (PRs), their contractors, sub-recipients, distributors, as well as downstream entities such as hospitals, clinics, pharmacies, all play critical roles in safeguarding product quality throughout the supply chain.</w:t>
      </w:r>
    </w:p>
    <w:p w14:paraId="361E02B4" w14:textId="3CAD149A" w:rsidR="002B3C18" w:rsidRPr="00586D7F" w:rsidRDefault="002B3C18" w:rsidP="00AB3925">
      <w:pPr>
        <w:spacing w:after="120"/>
        <w:jc w:val="both"/>
        <w:rPr>
          <w:rFonts w:eastAsia="Calibri" w:cs="Arial"/>
          <w:sz w:val="22"/>
          <w:szCs w:val="20"/>
        </w:rPr>
      </w:pPr>
      <w:r w:rsidRPr="002B3C18">
        <w:rPr>
          <w:rFonts w:eastAsia="Calibri" w:cs="Arial"/>
          <w:sz w:val="22"/>
          <w:szCs w:val="20"/>
        </w:rPr>
        <w:t xml:space="preserve">GSDP encompasses principles for </w:t>
      </w:r>
      <w:r w:rsidR="00EA6A14" w:rsidRPr="002B3C18">
        <w:rPr>
          <w:rFonts w:eastAsia="Calibri" w:cs="Arial"/>
          <w:sz w:val="22"/>
          <w:szCs w:val="20"/>
        </w:rPr>
        <w:t>proper</w:t>
      </w:r>
      <w:r w:rsidRPr="002B3C18">
        <w:rPr>
          <w:rFonts w:eastAsia="Calibri" w:cs="Arial"/>
          <w:sz w:val="22"/>
          <w:szCs w:val="20"/>
        </w:rPr>
        <w:t xml:space="preserve"> handling,</w:t>
      </w:r>
      <w:r w:rsidR="0028050A">
        <w:rPr>
          <w:rFonts w:eastAsia="Calibri" w:cs="Arial"/>
          <w:sz w:val="22"/>
          <w:szCs w:val="20"/>
        </w:rPr>
        <w:t xml:space="preserve"> </w:t>
      </w:r>
      <w:r w:rsidR="00E66D76">
        <w:rPr>
          <w:rFonts w:eastAsia="Calibri" w:cs="Arial"/>
          <w:sz w:val="22"/>
          <w:szCs w:val="20"/>
        </w:rPr>
        <w:t>transportation</w:t>
      </w:r>
      <w:r w:rsidR="0028050A">
        <w:rPr>
          <w:rFonts w:eastAsia="Calibri" w:cs="Arial"/>
          <w:sz w:val="22"/>
          <w:szCs w:val="20"/>
        </w:rPr>
        <w:t>,</w:t>
      </w:r>
      <w:r w:rsidRPr="002B3C18">
        <w:rPr>
          <w:rFonts w:eastAsia="Calibri" w:cs="Arial"/>
          <w:sz w:val="22"/>
          <w:szCs w:val="20"/>
        </w:rPr>
        <w:t xml:space="preserve"> storage,</w:t>
      </w:r>
      <w:r w:rsidR="0028050A" w:rsidRPr="002B3C18" w:rsidDel="0028050A">
        <w:rPr>
          <w:rFonts w:eastAsia="Calibri" w:cs="Arial"/>
          <w:sz w:val="22"/>
          <w:szCs w:val="20"/>
        </w:rPr>
        <w:t xml:space="preserve"> </w:t>
      </w:r>
      <w:r w:rsidRPr="002B3C18">
        <w:rPr>
          <w:rFonts w:eastAsia="Calibri" w:cs="Arial"/>
          <w:sz w:val="22"/>
          <w:szCs w:val="20"/>
        </w:rPr>
        <w:t>and distribution of health products to maintain their quality. It includes guidelines for storage conditions, transportation processes, and the traceability of products throughout the supply chain.</w:t>
      </w:r>
    </w:p>
    <w:p w14:paraId="6768CB53" w14:textId="21909A67" w:rsidR="00A753C9" w:rsidRPr="00586D7F" w:rsidRDefault="00586D7F" w:rsidP="00AB3925">
      <w:pPr>
        <w:spacing w:after="120"/>
        <w:jc w:val="both"/>
        <w:rPr>
          <w:rFonts w:eastAsia="Calibri" w:cs="Arial"/>
          <w:sz w:val="22"/>
        </w:rPr>
      </w:pPr>
      <w:r w:rsidRPr="66D89B9E">
        <w:rPr>
          <w:rFonts w:eastAsia="Calibri" w:cs="Arial"/>
          <w:sz w:val="22"/>
        </w:rPr>
        <w:lastRenderedPageBreak/>
        <w:t>Given the risks</w:t>
      </w:r>
      <w:r w:rsidR="00BD6DDE" w:rsidRPr="66D89B9E">
        <w:rPr>
          <w:rFonts w:eastAsia="Calibri" w:cs="Arial"/>
          <w:sz w:val="22"/>
        </w:rPr>
        <w:t xml:space="preserve"> associated</w:t>
      </w:r>
      <w:r w:rsidRPr="66D89B9E">
        <w:rPr>
          <w:rFonts w:eastAsia="Calibri" w:cs="Arial"/>
          <w:sz w:val="22"/>
        </w:rPr>
        <w:t>,</w:t>
      </w:r>
      <w:r w:rsidR="00A45CBD" w:rsidRPr="66D89B9E">
        <w:rPr>
          <w:rFonts w:eastAsia="Calibri" w:cs="Arial"/>
          <w:sz w:val="22"/>
        </w:rPr>
        <w:t xml:space="preserve"> </w:t>
      </w:r>
      <w:r w:rsidR="006874B9" w:rsidRPr="66D89B9E">
        <w:rPr>
          <w:rFonts w:eastAsia="Calibri" w:cs="Arial"/>
          <w:sz w:val="22"/>
        </w:rPr>
        <w:t xml:space="preserve">the Global Fund requires </w:t>
      </w:r>
      <w:r w:rsidR="00A45CBD" w:rsidRPr="66D89B9E">
        <w:rPr>
          <w:rFonts w:eastAsia="Calibri" w:cs="Arial"/>
          <w:sz w:val="22"/>
        </w:rPr>
        <w:t>recipients</w:t>
      </w:r>
      <w:r w:rsidR="00A45CBD" w:rsidRPr="00A45CBD">
        <w:t xml:space="preserve"> </w:t>
      </w:r>
      <w:r w:rsidR="006874B9" w:rsidRPr="66D89B9E">
        <w:rPr>
          <w:rFonts w:eastAsia="Calibri" w:cs="Arial"/>
          <w:sz w:val="22"/>
        </w:rPr>
        <w:t>to</w:t>
      </w:r>
      <w:r w:rsidR="00A45CBD" w:rsidRPr="66D89B9E">
        <w:rPr>
          <w:rFonts w:eastAsia="Calibri" w:cs="Arial"/>
          <w:sz w:val="22"/>
        </w:rPr>
        <w:t xml:space="preserve"> comply or ensure compliance with WHO or internationally recognized guidance for good storage, and distribution practices applicable</w:t>
      </w:r>
      <w:r w:rsidR="006874B9" w:rsidRPr="66D89B9E">
        <w:rPr>
          <w:rFonts w:eastAsia="Calibri" w:cs="Arial"/>
          <w:sz w:val="22"/>
        </w:rPr>
        <w:t xml:space="preserve"> to the respective Health Product </w:t>
      </w:r>
      <w:proofErr w:type="gramStart"/>
      <w:r w:rsidR="006874B9" w:rsidRPr="66D89B9E">
        <w:rPr>
          <w:rFonts w:eastAsia="Calibri" w:cs="Arial"/>
          <w:sz w:val="22"/>
        </w:rPr>
        <w:t>category</w:t>
      </w:r>
      <w:proofErr w:type="gramEnd"/>
      <w:r w:rsidR="006874B9" w:rsidRPr="66D89B9E">
        <w:rPr>
          <w:rFonts w:eastAsia="Calibri" w:cs="Arial"/>
          <w:sz w:val="22"/>
        </w:rPr>
        <w:t xml:space="preserve"> as quoted in the Quality </w:t>
      </w:r>
      <w:r w:rsidR="00BD6DDE" w:rsidRPr="66D89B9E">
        <w:rPr>
          <w:rFonts w:eastAsia="Calibri" w:cs="Arial"/>
          <w:sz w:val="22"/>
        </w:rPr>
        <w:t>A</w:t>
      </w:r>
      <w:r w:rsidR="006874B9" w:rsidRPr="66D89B9E">
        <w:rPr>
          <w:rFonts w:eastAsia="Calibri" w:cs="Arial"/>
          <w:sz w:val="22"/>
        </w:rPr>
        <w:t>ssurance policies</w:t>
      </w:r>
      <w:r w:rsidR="00FC0219" w:rsidRPr="66D89B9E">
        <w:rPr>
          <w:rStyle w:val="FootnoteReference"/>
          <w:rFonts w:eastAsia="Calibri" w:cs="Arial"/>
          <w:sz w:val="22"/>
        </w:rPr>
        <w:footnoteReference w:id="4"/>
      </w:r>
      <w:r w:rsidR="0005639B" w:rsidRPr="66D89B9E">
        <w:rPr>
          <w:rFonts w:eastAsia="Calibri" w:cs="Arial"/>
          <w:sz w:val="22"/>
        </w:rPr>
        <w:t>, Health Product Management Guide</w:t>
      </w:r>
      <w:r w:rsidR="00A5788B">
        <w:rPr>
          <w:rStyle w:val="FootnoteReference"/>
          <w:rFonts w:eastAsia="Calibri" w:cs="Arial"/>
          <w:sz w:val="22"/>
        </w:rPr>
        <w:footnoteReference w:id="5"/>
      </w:r>
      <w:r w:rsidR="008B78A9" w:rsidRPr="66D89B9E">
        <w:rPr>
          <w:rFonts w:eastAsia="Calibri" w:cs="Arial"/>
          <w:sz w:val="22"/>
        </w:rPr>
        <w:t xml:space="preserve"> </w:t>
      </w:r>
      <w:r w:rsidR="00853259" w:rsidRPr="66D89B9E">
        <w:rPr>
          <w:rFonts w:eastAsia="Calibri" w:cs="Arial"/>
          <w:sz w:val="22"/>
        </w:rPr>
        <w:t>and other releva</w:t>
      </w:r>
      <w:r w:rsidR="00252603" w:rsidRPr="66D89B9E">
        <w:rPr>
          <w:rFonts w:eastAsia="Calibri" w:cs="Arial"/>
          <w:sz w:val="22"/>
        </w:rPr>
        <w:t>nt operational guidance</w:t>
      </w:r>
      <w:r w:rsidR="00BD6ED3">
        <w:rPr>
          <w:rStyle w:val="FootnoteReference"/>
          <w:rFonts w:eastAsia="Calibri" w:cs="Arial"/>
          <w:sz w:val="22"/>
        </w:rPr>
        <w:footnoteReference w:id="6"/>
      </w:r>
      <w:r w:rsidR="0065441A" w:rsidRPr="66D89B9E">
        <w:rPr>
          <w:rFonts w:eastAsia="Calibri" w:cs="Arial"/>
          <w:sz w:val="22"/>
        </w:rPr>
        <w:t>.</w:t>
      </w:r>
      <w:r w:rsidR="00252603" w:rsidRPr="66D89B9E">
        <w:rPr>
          <w:rFonts w:eastAsia="Calibri" w:cs="Arial"/>
          <w:sz w:val="22"/>
        </w:rPr>
        <w:t xml:space="preserve"> </w:t>
      </w:r>
    </w:p>
    <w:p w14:paraId="4FF700DF" w14:textId="14D470F4" w:rsidR="00594545" w:rsidRPr="002509ED" w:rsidRDefault="00CC1B1F" w:rsidP="00AB3925">
      <w:pPr>
        <w:pStyle w:val="Heading1NonNumbered"/>
        <w:jc w:val="both"/>
      </w:pPr>
      <w:r w:rsidRPr="002509ED">
        <w:t>Scope of Work</w:t>
      </w:r>
    </w:p>
    <w:p w14:paraId="3B0BB079" w14:textId="7A0DC3CA" w:rsidR="00176CAB" w:rsidRPr="00D444B5" w:rsidRDefault="00176CAB" w:rsidP="00AB392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Georgia" w:hAnsiTheme="minorHAnsi" w:cstheme="minorBidi"/>
          <w:b/>
          <w:bCs/>
        </w:rPr>
      </w:pPr>
      <w:r w:rsidRPr="1507622A">
        <w:rPr>
          <w:rFonts w:asciiTheme="minorHAnsi" w:eastAsia="Georgia" w:hAnsiTheme="minorHAnsi" w:cstheme="minorBidi"/>
          <w:b/>
          <w:bCs/>
          <w:i/>
          <w:iCs/>
        </w:rPr>
        <w:t>[</w:t>
      </w:r>
      <w:r>
        <w:rPr>
          <w:rFonts w:asciiTheme="minorHAnsi" w:eastAsia="Georgia" w:hAnsiTheme="minorHAnsi" w:cstheme="minorBidi"/>
          <w:b/>
          <w:bCs/>
          <w:i/>
          <w:iCs/>
        </w:rPr>
        <w:t>The d</w:t>
      </w:r>
      <w:r w:rsidRPr="1507622A">
        <w:rPr>
          <w:rFonts w:asciiTheme="minorHAnsi" w:eastAsia="Georgia" w:hAnsiTheme="minorHAnsi" w:cstheme="minorBidi"/>
          <w:b/>
          <w:bCs/>
          <w:i/>
          <w:iCs/>
        </w:rPr>
        <w:t xml:space="preserve">etailed scope </w:t>
      </w:r>
      <w:r>
        <w:rPr>
          <w:rFonts w:asciiTheme="minorHAnsi" w:eastAsia="Georgia" w:hAnsiTheme="minorHAnsi" w:cstheme="minorBidi"/>
          <w:b/>
          <w:bCs/>
          <w:i/>
          <w:iCs/>
        </w:rPr>
        <w:t xml:space="preserve">is </w:t>
      </w:r>
      <w:r w:rsidRPr="1507622A">
        <w:rPr>
          <w:rFonts w:asciiTheme="minorHAnsi" w:eastAsia="Georgia" w:hAnsiTheme="minorHAnsi" w:cstheme="minorBidi"/>
          <w:b/>
          <w:bCs/>
          <w:i/>
          <w:iCs/>
        </w:rPr>
        <w:t xml:space="preserve">to be agreed </w:t>
      </w:r>
      <w:r>
        <w:rPr>
          <w:rFonts w:asciiTheme="minorHAnsi" w:eastAsia="Georgia" w:hAnsiTheme="minorHAnsi" w:cstheme="minorBidi"/>
          <w:b/>
          <w:bCs/>
          <w:i/>
          <w:iCs/>
        </w:rPr>
        <w:t xml:space="preserve">between the LFA and </w:t>
      </w:r>
      <w:r w:rsidRPr="1507622A">
        <w:rPr>
          <w:rFonts w:asciiTheme="minorHAnsi" w:eastAsia="Georgia" w:hAnsiTheme="minorHAnsi" w:cstheme="minorBidi"/>
          <w:b/>
          <w:bCs/>
          <w:i/>
          <w:iCs/>
        </w:rPr>
        <w:t xml:space="preserve">the Country Team prior to commencing the </w:t>
      </w:r>
      <w:r>
        <w:rPr>
          <w:rFonts w:asciiTheme="minorHAnsi" w:eastAsia="Georgia" w:hAnsiTheme="minorHAnsi" w:cstheme="minorBidi"/>
          <w:b/>
          <w:bCs/>
          <w:i/>
          <w:iCs/>
        </w:rPr>
        <w:t>work</w:t>
      </w:r>
      <w:r w:rsidRPr="1507622A">
        <w:rPr>
          <w:rFonts w:asciiTheme="minorHAnsi" w:eastAsia="Georgia" w:hAnsiTheme="minorHAnsi" w:cstheme="minorBidi"/>
          <w:b/>
          <w:bCs/>
          <w:i/>
          <w:iCs/>
        </w:rPr>
        <w:t>]</w:t>
      </w:r>
      <w:r w:rsidRPr="1507622A">
        <w:rPr>
          <w:rFonts w:asciiTheme="minorHAnsi" w:eastAsia="Georgia" w:hAnsiTheme="minorHAnsi" w:cstheme="minorBidi"/>
          <w:b/>
          <w:bCs/>
        </w:rPr>
        <w:t>:</w:t>
      </w:r>
    </w:p>
    <w:p w14:paraId="6F8D429F" w14:textId="77777777" w:rsidR="00176CAB" w:rsidRDefault="00176CAB" w:rsidP="00AB3925">
      <w:pPr>
        <w:pStyle w:val="BodyText"/>
        <w:spacing w:before="9"/>
        <w:jc w:val="both"/>
        <w:rPr>
          <w:sz w:val="22"/>
        </w:rPr>
      </w:pPr>
    </w:p>
    <w:p w14:paraId="2D9869FA" w14:textId="69940B95" w:rsidR="00D60715" w:rsidRPr="000B3E58" w:rsidRDefault="250837EB" w:rsidP="00AB3925">
      <w:pPr>
        <w:pStyle w:val="BodyText"/>
        <w:spacing w:before="9"/>
        <w:jc w:val="both"/>
        <w:rPr>
          <w:sz w:val="22"/>
        </w:rPr>
      </w:pPr>
      <w:r w:rsidRPr="516088E6">
        <w:rPr>
          <w:sz w:val="22"/>
        </w:rPr>
        <w:t>T</w:t>
      </w:r>
      <w:r w:rsidR="6CCC76E2" w:rsidRPr="516088E6">
        <w:rPr>
          <w:sz w:val="22"/>
        </w:rPr>
        <w:t xml:space="preserve">he </w:t>
      </w:r>
      <w:r w:rsidR="26CB9B47" w:rsidRPr="516088E6">
        <w:rPr>
          <w:sz w:val="22"/>
        </w:rPr>
        <w:t xml:space="preserve">LFA’s </w:t>
      </w:r>
      <w:r w:rsidR="6CCC76E2" w:rsidRPr="516088E6">
        <w:rPr>
          <w:sz w:val="22"/>
        </w:rPr>
        <w:t xml:space="preserve">verification activity aims to assess compliance </w:t>
      </w:r>
      <w:r w:rsidR="00F96AB6" w:rsidRPr="516088E6">
        <w:rPr>
          <w:sz w:val="22"/>
        </w:rPr>
        <w:t xml:space="preserve">with </w:t>
      </w:r>
      <w:r w:rsidR="00F96AB6">
        <w:rPr>
          <w:sz w:val="22"/>
        </w:rPr>
        <w:t>GSDP</w:t>
      </w:r>
      <w:r w:rsidR="6CCC76E2" w:rsidRPr="516088E6">
        <w:rPr>
          <w:sz w:val="22"/>
        </w:rPr>
        <w:t xml:space="preserve"> at any point within the health product supply chain</w:t>
      </w:r>
      <w:r w:rsidR="2CDA8DB0" w:rsidRPr="516088E6">
        <w:rPr>
          <w:sz w:val="22"/>
        </w:rPr>
        <w:t xml:space="preserve"> including potential risk for the quality of health products</w:t>
      </w:r>
      <w:r w:rsidR="6CCC76E2" w:rsidRPr="516088E6">
        <w:rPr>
          <w:sz w:val="22"/>
        </w:rPr>
        <w:t>. This includes the entire process</w:t>
      </w:r>
      <w:r w:rsidR="79CDB6FF" w:rsidRPr="516088E6">
        <w:rPr>
          <w:sz w:val="22"/>
        </w:rPr>
        <w:t xml:space="preserve"> </w:t>
      </w:r>
      <w:r w:rsidR="6CCC76E2" w:rsidRPr="516088E6">
        <w:rPr>
          <w:sz w:val="22"/>
        </w:rPr>
        <w:t xml:space="preserve">from the </w:t>
      </w:r>
      <w:r w:rsidR="79CDD9D3" w:rsidRPr="516088E6">
        <w:rPr>
          <w:sz w:val="22"/>
        </w:rPr>
        <w:t>manufacturer’s premises</w:t>
      </w:r>
      <w:r w:rsidR="6CCC76E2" w:rsidRPr="516088E6">
        <w:rPr>
          <w:sz w:val="22"/>
        </w:rPr>
        <w:t xml:space="preserve"> to their final delivery to end</w:t>
      </w:r>
      <w:r w:rsidR="71E41DA2" w:rsidRPr="516088E6">
        <w:rPr>
          <w:sz w:val="22"/>
        </w:rPr>
        <w:t>-</w:t>
      </w:r>
      <w:r w:rsidR="6CCC76E2" w:rsidRPr="516088E6">
        <w:rPr>
          <w:sz w:val="22"/>
        </w:rPr>
        <w:t>users</w:t>
      </w:r>
      <w:r w:rsidR="71E41DA2" w:rsidRPr="516088E6">
        <w:rPr>
          <w:sz w:val="22"/>
        </w:rPr>
        <w:t>/patients</w:t>
      </w:r>
      <w:r w:rsidR="6CCC76E2" w:rsidRPr="516088E6">
        <w:rPr>
          <w:sz w:val="22"/>
        </w:rPr>
        <w:t xml:space="preserve">. </w:t>
      </w:r>
    </w:p>
    <w:p w14:paraId="31895FA1" w14:textId="0655F36D" w:rsidR="00D60715" w:rsidRPr="000B3E58" w:rsidRDefault="2A4A3657" w:rsidP="00AB3925">
      <w:pPr>
        <w:pStyle w:val="BodyText"/>
        <w:spacing w:before="9"/>
        <w:jc w:val="both"/>
        <w:rPr>
          <w:sz w:val="22"/>
        </w:rPr>
      </w:pPr>
      <w:r w:rsidRPr="00E67DCD">
        <w:rPr>
          <w:sz w:val="22"/>
        </w:rPr>
        <w:t>Depending on the applicable Incoterm, the responsibility for transportation from the manufacturer</w:t>
      </w:r>
      <w:r w:rsidR="1CFF3A6E" w:rsidRPr="00E67DCD">
        <w:rPr>
          <w:sz w:val="22"/>
        </w:rPr>
        <w:t>’s premises</w:t>
      </w:r>
      <w:r w:rsidRPr="00E67DCD">
        <w:rPr>
          <w:sz w:val="22"/>
        </w:rPr>
        <w:t xml:space="preserve"> to the country may lie with a party other than the PR. In such cases, the</w:t>
      </w:r>
      <w:r w:rsidR="00F96AB6">
        <w:rPr>
          <w:sz w:val="22"/>
        </w:rPr>
        <w:t xml:space="preserve"> scope of verification </w:t>
      </w:r>
      <w:r w:rsidRPr="00E67DCD">
        <w:rPr>
          <w:sz w:val="22"/>
        </w:rPr>
        <w:t xml:space="preserve">of transport compliance </w:t>
      </w:r>
      <w:r w:rsidR="00F96AB6">
        <w:rPr>
          <w:sz w:val="22"/>
        </w:rPr>
        <w:t>should be limited</w:t>
      </w:r>
      <w:r w:rsidR="00F96AB6" w:rsidRPr="00E67DCD">
        <w:rPr>
          <w:sz w:val="22"/>
        </w:rPr>
        <w:t xml:space="preserve"> </w:t>
      </w:r>
      <w:r w:rsidRPr="00E67DCD">
        <w:rPr>
          <w:sz w:val="22"/>
        </w:rPr>
        <w:t xml:space="preserve">to the segments of the supply chain under the PR’s </w:t>
      </w:r>
      <w:r w:rsidR="00F96AB6" w:rsidRPr="00E67DCD">
        <w:rPr>
          <w:sz w:val="22"/>
        </w:rPr>
        <w:t>responsibility</w:t>
      </w:r>
      <w:r w:rsidR="1930098B" w:rsidRPr="00E67DCD">
        <w:rPr>
          <w:sz w:val="22"/>
        </w:rPr>
        <w:t>.</w:t>
      </w:r>
    </w:p>
    <w:p w14:paraId="408A4AE8" w14:textId="2A685638" w:rsidR="00D60715" w:rsidRPr="000B3E58" w:rsidRDefault="6CCC76E2" w:rsidP="00AB3925">
      <w:pPr>
        <w:spacing w:before="9"/>
        <w:jc w:val="both"/>
        <w:rPr>
          <w:sz w:val="22"/>
        </w:rPr>
      </w:pPr>
      <w:r w:rsidRPr="516088E6">
        <w:rPr>
          <w:sz w:val="22"/>
        </w:rPr>
        <w:t xml:space="preserve">The scope </w:t>
      </w:r>
      <w:r w:rsidR="00176CAB">
        <w:rPr>
          <w:sz w:val="22"/>
        </w:rPr>
        <w:t xml:space="preserve">may </w:t>
      </w:r>
      <w:r w:rsidRPr="516088E6">
        <w:rPr>
          <w:sz w:val="22"/>
        </w:rPr>
        <w:t>encompass the following</w:t>
      </w:r>
      <w:r w:rsidR="4E8ADAAC" w:rsidRPr="516088E6">
        <w:rPr>
          <w:sz w:val="22"/>
        </w:rPr>
        <w:t>:</w:t>
      </w:r>
    </w:p>
    <w:p w14:paraId="14686F57" w14:textId="26534F59" w:rsidR="00D60715" w:rsidRPr="000B3E58" w:rsidRDefault="00D60715" w:rsidP="00AB3925">
      <w:pPr>
        <w:pStyle w:val="BodyText"/>
        <w:numPr>
          <w:ilvl w:val="0"/>
          <w:numId w:val="35"/>
        </w:numPr>
        <w:spacing w:before="9"/>
        <w:jc w:val="both"/>
        <w:rPr>
          <w:sz w:val="22"/>
          <w:szCs w:val="24"/>
        </w:rPr>
      </w:pPr>
      <w:r w:rsidRPr="000B3E58">
        <w:rPr>
          <w:b/>
          <w:bCs/>
          <w:sz w:val="22"/>
          <w:szCs w:val="24"/>
        </w:rPr>
        <w:t>Supply Chain</w:t>
      </w:r>
      <w:r w:rsidR="00EA4D40">
        <w:rPr>
          <w:b/>
          <w:bCs/>
          <w:sz w:val="22"/>
          <w:szCs w:val="24"/>
        </w:rPr>
        <w:t xml:space="preserve"> Actors</w:t>
      </w:r>
      <w:r w:rsidRPr="000B3E58">
        <w:rPr>
          <w:b/>
          <w:bCs/>
          <w:sz w:val="22"/>
          <w:szCs w:val="24"/>
        </w:rPr>
        <w:t>:</w:t>
      </w:r>
      <w:r w:rsidRPr="000B3E58">
        <w:rPr>
          <w:sz w:val="22"/>
          <w:szCs w:val="24"/>
        </w:rPr>
        <w:t xml:space="preserve"> Verification may include central medical stores, regional and district storage facilities, hospital pharmacies, distribution centers, or any other relevant storage and distribution point within the supply chain.</w:t>
      </w:r>
    </w:p>
    <w:p w14:paraId="058413E8" w14:textId="24139B28" w:rsidR="00D60715" w:rsidRPr="000B3E58" w:rsidRDefault="000B3DD4" w:rsidP="00AB3925">
      <w:pPr>
        <w:pStyle w:val="BodyText"/>
        <w:numPr>
          <w:ilvl w:val="0"/>
          <w:numId w:val="35"/>
        </w:numPr>
        <w:spacing w:before="9"/>
        <w:jc w:val="both"/>
        <w:rPr>
          <w:sz w:val="22"/>
          <w:szCs w:val="24"/>
        </w:rPr>
      </w:pPr>
      <w:r>
        <w:rPr>
          <w:b/>
          <w:bCs/>
          <w:sz w:val="22"/>
          <w:szCs w:val="24"/>
        </w:rPr>
        <w:t xml:space="preserve">Health </w:t>
      </w:r>
      <w:r w:rsidR="00D60715" w:rsidRPr="000B3E58">
        <w:rPr>
          <w:b/>
          <w:bCs/>
          <w:sz w:val="22"/>
          <w:szCs w:val="24"/>
        </w:rPr>
        <w:t>Product Handling and Storage:</w:t>
      </w:r>
      <w:r w:rsidR="00D60715" w:rsidRPr="000B3E58">
        <w:rPr>
          <w:sz w:val="22"/>
          <w:szCs w:val="24"/>
        </w:rPr>
        <w:t xml:space="preserve"> Assessment of storage conditions to ensure compliance with GSDP</w:t>
      </w:r>
      <w:r w:rsidR="00CA5700" w:rsidRPr="000B3E58">
        <w:rPr>
          <w:sz w:val="22"/>
          <w:szCs w:val="24"/>
        </w:rPr>
        <w:t xml:space="preserve">, adherence to labeling </w:t>
      </w:r>
      <w:r w:rsidR="00D60715" w:rsidRPr="000B3E58">
        <w:rPr>
          <w:sz w:val="22"/>
          <w:szCs w:val="24"/>
        </w:rPr>
        <w:t>and the preservation of product quality</w:t>
      </w:r>
      <w:r w:rsidR="00AC6ED2">
        <w:rPr>
          <w:sz w:val="22"/>
          <w:szCs w:val="24"/>
        </w:rPr>
        <w:t>.</w:t>
      </w:r>
    </w:p>
    <w:p w14:paraId="36FC60B5" w14:textId="1068D557" w:rsidR="00D60715" w:rsidRPr="000B3E58" w:rsidRDefault="00D60715" w:rsidP="00AB3925">
      <w:pPr>
        <w:pStyle w:val="BodyText"/>
        <w:numPr>
          <w:ilvl w:val="0"/>
          <w:numId w:val="35"/>
        </w:numPr>
        <w:spacing w:before="9"/>
        <w:jc w:val="both"/>
        <w:rPr>
          <w:sz w:val="22"/>
          <w:szCs w:val="24"/>
        </w:rPr>
      </w:pPr>
      <w:r w:rsidRPr="000B3E58">
        <w:rPr>
          <w:b/>
          <w:bCs/>
          <w:sz w:val="22"/>
          <w:szCs w:val="24"/>
        </w:rPr>
        <w:t>Distribution Practices:</w:t>
      </w:r>
      <w:r w:rsidRPr="000B3E58">
        <w:rPr>
          <w:sz w:val="22"/>
          <w:szCs w:val="24"/>
        </w:rPr>
        <w:t xml:space="preserve"> Evaluation of processes and controls during product transport to ensure adherence to GSDP and the integrity of the supply chain.</w:t>
      </w:r>
    </w:p>
    <w:p w14:paraId="0B16C6CA" w14:textId="2B5AD708" w:rsidR="00D60715" w:rsidRPr="000B3E58" w:rsidRDefault="6CCC76E2" w:rsidP="00AB3925">
      <w:pPr>
        <w:pStyle w:val="BodyText"/>
        <w:numPr>
          <w:ilvl w:val="0"/>
          <w:numId w:val="35"/>
        </w:numPr>
        <w:spacing w:before="9"/>
        <w:jc w:val="both"/>
        <w:rPr>
          <w:sz w:val="22"/>
        </w:rPr>
      </w:pPr>
      <w:r w:rsidRPr="516088E6">
        <w:rPr>
          <w:b/>
          <w:bCs/>
          <w:sz w:val="22"/>
        </w:rPr>
        <w:t xml:space="preserve">Compliance with </w:t>
      </w:r>
      <w:r w:rsidR="00F96AB6" w:rsidRPr="516088E6">
        <w:rPr>
          <w:b/>
          <w:bCs/>
          <w:sz w:val="22"/>
        </w:rPr>
        <w:t xml:space="preserve">applicable </w:t>
      </w:r>
      <w:r w:rsidR="00F96AB6">
        <w:rPr>
          <w:b/>
          <w:bCs/>
          <w:sz w:val="22"/>
        </w:rPr>
        <w:t>r</w:t>
      </w:r>
      <w:r w:rsidR="00F96AB6" w:rsidRPr="516088E6">
        <w:rPr>
          <w:b/>
          <w:bCs/>
          <w:sz w:val="22"/>
        </w:rPr>
        <w:t>equirements</w:t>
      </w:r>
      <w:r w:rsidRPr="516088E6">
        <w:rPr>
          <w:b/>
          <w:bCs/>
          <w:sz w:val="22"/>
        </w:rPr>
        <w:t>:</w:t>
      </w:r>
      <w:r w:rsidRPr="516088E6">
        <w:rPr>
          <w:sz w:val="22"/>
        </w:rPr>
        <w:t xml:space="preserve"> Verification of licensing, regulatory adherence, and alignment with both national standards and Global Fund quality assurance requirements</w:t>
      </w:r>
      <w:r w:rsidR="706FE0B9" w:rsidRPr="516088E6">
        <w:rPr>
          <w:sz w:val="22"/>
        </w:rPr>
        <w:t xml:space="preserve"> for GSDP</w:t>
      </w:r>
      <w:r w:rsidR="00F96AB6">
        <w:rPr>
          <w:sz w:val="22"/>
        </w:rPr>
        <w:t xml:space="preserve"> </w:t>
      </w:r>
      <w:r w:rsidR="00EA5F1D" w:rsidRPr="000B3E58" w:rsidDel="00EA5F1D">
        <w:rPr>
          <w:b/>
          <w:bCs/>
          <w:sz w:val="22"/>
          <w:szCs w:val="24"/>
        </w:rPr>
        <w:t xml:space="preserve"> </w:t>
      </w:r>
    </w:p>
    <w:p w14:paraId="6F1F2984" w14:textId="663060E1" w:rsidR="00DB750F" w:rsidRPr="000B3E58" w:rsidRDefault="00E51734" w:rsidP="00AB3925">
      <w:pPr>
        <w:pStyle w:val="BodyText"/>
        <w:numPr>
          <w:ilvl w:val="0"/>
          <w:numId w:val="35"/>
        </w:numPr>
        <w:spacing w:before="9"/>
        <w:jc w:val="both"/>
        <w:rPr>
          <w:sz w:val="22"/>
          <w:szCs w:val="24"/>
        </w:rPr>
      </w:pPr>
      <w:r w:rsidRPr="000B3E58">
        <w:rPr>
          <w:b/>
          <w:bCs/>
          <w:sz w:val="22"/>
          <w:szCs w:val="24"/>
        </w:rPr>
        <w:t>Inventory Management:</w:t>
      </w:r>
      <w:r w:rsidRPr="000B3E58">
        <w:rPr>
          <w:sz w:val="22"/>
          <w:szCs w:val="24"/>
        </w:rPr>
        <w:t xml:space="preserve"> Processes for inventory tracking, traceability, and reconciliation.</w:t>
      </w:r>
    </w:p>
    <w:p w14:paraId="35CCEF3B" w14:textId="0425F518" w:rsidR="00464067" w:rsidRDefault="0014423D" w:rsidP="00AB3925">
      <w:pPr>
        <w:pStyle w:val="BodyText"/>
        <w:numPr>
          <w:ilvl w:val="0"/>
          <w:numId w:val="35"/>
        </w:numPr>
        <w:spacing w:before="9"/>
        <w:jc w:val="both"/>
        <w:rPr>
          <w:sz w:val="22"/>
        </w:rPr>
      </w:pPr>
      <w:r w:rsidRPr="00DB750F">
        <w:rPr>
          <w:b/>
          <w:bCs/>
          <w:sz w:val="22"/>
        </w:rPr>
        <w:t>Risk mitigation activities apply to</w:t>
      </w:r>
      <w:r w:rsidR="00E51734" w:rsidRPr="00DB750F">
        <w:rPr>
          <w:sz w:val="22"/>
        </w:rPr>
        <w:t xml:space="preserve"> </w:t>
      </w:r>
      <w:r w:rsidR="0049192F" w:rsidRPr="00DB750F">
        <w:rPr>
          <w:sz w:val="22"/>
        </w:rPr>
        <w:t xml:space="preserve">specific </w:t>
      </w:r>
      <w:r w:rsidR="00E943BD" w:rsidRPr="00DB750F">
        <w:rPr>
          <w:sz w:val="22"/>
        </w:rPr>
        <w:t xml:space="preserve">health </w:t>
      </w:r>
      <w:r w:rsidR="00F96AB6" w:rsidRPr="00DB750F">
        <w:rPr>
          <w:sz w:val="22"/>
        </w:rPr>
        <w:t>products.</w:t>
      </w:r>
    </w:p>
    <w:p w14:paraId="19D78F94" w14:textId="77777777" w:rsidR="009E10F3" w:rsidRPr="00531ECC" w:rsidRDefault="009E10F3" w:rsidP="00AB3925">
      <w:pPr>
        <w:pStyle w:val="Heading1NonNumbered"/>
        <w:jc w:val="both"/>
      </w:pPr>
      <w:r w:rsidRPr="00531ECC">
        <w:lastRenderedPageBreak/>
        <w:t>Methodology</w:t>
      </w:r>
    </w:p>
    <w:p w14:paraId="57092146" w14:textId="04AFCEC6" w:rsidR="000C0837" w:rsidRDefault="000C0837" w:rsidP="00AB3925">
      <w:pPr>
        <w:jc w:val="both"/>
        <w:rPr>
          <w:sz w:val="22"/>
          <w:szCs w:val="20"/>
        </w:rPr>
      </w:pPr>
      <w:r>
        <w:rPr>
          <w:sz w:val="22"/>
          <w:szCs w:val="20"/>
        </w:rPr>
        <w:t>Th</w:t>
      </w:r>
      <w:r w:rsidRPr="000C0837">
        <w:rPr>
          <w:sz w:val="22"/>
          <w:szCs w:val="20"/>
        </w:rPr>
        <w:t xml:space="preserve">e </w:t>
      </w:r>
      <w:r w:rsidR="00EC0A72" w:rsidRPr="00B0799C">
        <w:rPr>
          <w:sz w:val="22"/>
          <w:szCs w:val="20"/>
        </w:rPr>
        <w:t>LFA</w:t>
      </w:r>
      <w:r w:rsidRPr="000C0837">
        <w:rPr>
          <w:sz w:val="22"/>
          <w:szCs w:val="20"/>
        </w:rPr>
        <w:t xml:space="preserve"> should </w:t>
      </w:r>
      <w:r w:rsidR="007B3D20">
        <w:rPr>
          <w:sz w:val="22"/>
          <w:szCs w:val="20"/>
        </w:rPr>
        <w:t xml:space="preserve">verify </w:t>
      </w:r>
      <w:r w:rsidRPr="000C0837">
        <w:rPr>
          <w:sz w:val="22"/>
          <w:szCs w:val="20"/>
        </w:rPr>
        <w:t>compliance with GSDP</w:t>
      </w:r>
      <w:r w:rsidR="000750A2" w:rsidRPr="000750A2">
        <w:t xml:space="preserve"> </w:t>
      </w:r>
      <w:r w:rsidR="000750A2" w:rsidRPr="000750A2">
        <w:rPr>
          <w:sz w:val="22"/>
          <w:szCs w:val="20"/>
        </w:rPr>
        <w:t xml:space="preserve">across all relevant supply chain actors, including Principal Recipients (PRs), contractors, sub-recipients, distributors, central and regional stores, hospital/clinic pharmacies, </w:t>
      </w:r>
      <w:r w:rsidR="00EB22A7" w:rsidRPr="00EB22A7">
        <w:rPr>
          <w:sz w:val="22"/>
          <w:szCs w:val="20"/>
        </w:rPr>
        <w:t>or distribution points</w:t>
      </w:r>
      <w:r w:rsidR="000750A2" w:rsidRPr="000750A2">
        <w:rPr>
          <w:sz w:val="22"/>
          <w:szCs w:val="20"/>
        </w:rPr>
        <w:t>.</w:t>
      </w:r>
    </w:p>
    <w:p w14:paraId="100507CC" w14:textId="05F973A7" w:rsidR="001E1357" w:rsidRPr="000C0837" w:rsidRDefault="001E1357" w:rsidP="00AB3925">
      <w:pPr>
        <w:jc w:val="both"/>
        <w:rPr>
          <w:sz w:val="22"/>
          <w:szCs w:val="20"/>
        </w:rPr>
      </w:pPr>
      <w:r w:rsidRPr="001E1357">
        <w:rPr>
          <w:sz w:val="22"/>
          <w:szCs w:val="20"/>
        </w:rPr>
        <w:t>The methodology should include the following steps:</w:t>
      </w:r>
    </w:p>
    <w:p w14:paraId="291063D9" w14:textId="19A72DF2" w:rsidR="00F34373" w:rsidRPr="00F34373" w:rsidRDefault="00F34373" w:rsidP="00AB3925">
      <w:pPr>
        <w:numPr>
          <w:ilvl w:val="0"/>
          <w:numId w:val="30"/>
        </w:numPr>
        <w:jc w:val="both"/>
        <w:rPr>
          <w:sz w:val="22"/>
          <w:szCs w:val="20"/>
        </w:rPr>
      </w:pPr>
      <w:r w:rsidRPr="000132E8">
        <w:rPr>
          <w:b/>
          <w:bCs/>
          <w:sz w:val="22"/>
          <w:szCs w:val="20"/>
        </w:rPr>
        <w:t>Awareness Assessment</w:t>
      </w:r>
      <w:r w:rsidRPr="00F34373">
        <w:rPr>
          <w:sz w:val="22"/>
          <w:szCs w:val="20"/>
        </w:rPr>
        <w:t xml:space="preserve">: Evaluate </w:t>
      </w:r>
      <w:r w:rsidR="001E1357">
        <w:rPr>
          <w:sz w:val="22"/>
          <w:szCs w:val="20"/>
        </w:rPr>
        <w:t>t</w:t>
      </w:r>
      <w:r w:rsidR="001E1357" w:rsidRPr="001E1357">
        <w:rPr>
          <w:sz w:val="22"/>
          <w:szCs w:val="20"/>
        </w:rPr>
        <w:t xml:space="preserve">he understanding of PR staff, contractors, sub-recipients, and other supply chain </w:t>
      </w:r>
      <w:r w:rsidR="0092188E">
        <w:rPr>
          <w:sz w:val="22"/>
          <w:szCs w:val="20"/>
        </w:rPr>
        <w:t>actors regarding</w:t>
      </w:r>
      <w:r w:rsidR="001A1672">
        <w:rPr>
          <w:sz w:val="22"/>
          <w:szCs w:val="20"/>
        </w:rPr>
        <w:t xml:space="preserve"> both</w:t>
      </w:r>
      <w:r w:rsidRPr="00F34373">
        <w:rPr>
          <w:sz w:val="22"/>
          <w:szCs w:val="20"/>
        </w:rPr>
        <w:t xml:space="preserve"> Global Fund QA requirements</w:t>
      </w:r>
      <w:r w:rsidR="00875943">
        <w:rPr>
          <w:sz w:val="22"/>
          <w:szCs w:val="20"/>
        </w:rPr>
        <w:t xml:space="preserve"> for GSDP</w:t>
      </w:r>
      <w:r w:rsidR="001A1672">
        <w:rPr>
          <w:sz w:val="22"/>
          <w:szCs w:val="20"/>
        </w:rPr>
        <w:t xml:space="preserve"> </w:t>
      </w:r>
      <w:r w:rsidR="001A1672" w:rsidRPr="001A1672">
        <w:rPr>
          <w:sz w:val="22"/>
          <w:szCs w:val="20"/>
        </w:rPr>
        <w:t xml:space="preserve">and the </w:t>
      </w:r>
      <w:r w:rsidR="00DB29B4">
        <w:rPr>
          <w:sz w:val="22"/>
          <w:szCs w:val="20"/>
        </w:rPr>
        <w:t xml:space="preserve">statutory and </w:t>
      </w:r>
      <w:r w:rsidR="001A1672" w:rsidRPr="001A1672">
        <w:rPr>
          <w:sz w:val="22"/>
          <w:szCs w:val="20"/>
        </w:rPr>
        <w:t>regula</w:t>
      </w:r>
      <w:r w:rsidR="008731F7">
        <w:rPr>
          <w:sz w:val="22"/>
          <w:szCs w:val="20"/>
        </w:rPr>
        <w:t>tory</w:t>
      </w:r>
      <w:r w:rsidR="002C6367">
        <w:rPr>
          <w:sz w:val="22"/>
          <w:szCs w:val="20"/>
        </w:rPr>
        <w:t xml:space="preserve"> requirement</w:t>
      </w:r>
      <w:r w:rsidR="001A1672" w:rsidRPr="001A1672">
        <w:rPr>
          <w:sz w:val="22"/>
          <w:szCs w:val="20"/>
        </w:rPr>
        <w:t xml:space="preserve"> for </w:t>
      </w:r>
      <w:r w:rsidR="00DB29B4">
        <w:rPr>
          <w:sz w:val="22"/>
          <w:szCs w:val="20"/>
        </w:rPr>
        <w:t xml:space="preserve">transportation, </w:t>
      </w:r>
      <w:r w:rsidR="001A1672" w:rsidRPr="001A1672">
        <w:rPr>
          <w:sz w:val="22"/>
          <w:szCs w:val="20"/>
        </w:rPr>
        <w:t xml:space="preserve">storage and </w:t>
      </w:r>
      <w:r w:rsidR="00E26855" w:rsidRPr="001A1672">
        <w:rPr>
          <w:sz w:val="22"/>
          <w:szCs w:val="20"/>
        </w:rPr>
        <w:t>distribution</w:t>
      </w:r>
      <w:r w:rsidR="00E26855">
        <w:rPr>
          <w:sz w:val="22"/>
          <w:szCs w:val="20"/>
        </w:rPr>
        <w:t>.</w:t>
      </w:r>
    </w:p>
    <w:p w14:paraId="1BF5195C" w14:textId="2EF2CA65" w:rsidR="0020093A" w:rsidRPr="0020093A" w:rsidRDefault="0020093A" w:rsidP="00AB3925">
      <w:pPr>
        <w:numPr>
          <w:ilvl w:val="0"/>
          <w:numId w:val="30"/>
        </w:numPr>
        <w:jc w:val="both"/>
        <w:rPr>
          <w:sz w:val="22"/>
          <w:szCs w:val="20"/>
        </w:rPr>
      </w:pPr>
      <w:r w:rsidRPr="000132E8">
        <w:rPr>
          <w:b/>
          <w:bCs/>
          <w:sz w:val="22"/>
          <w:szCs w:val="20"/>
        </w:rPr>
        <w:t>Compliance Check:</w:t>
      </w:r>
      <w:r w:rsidRPr="00F34373">
        <w:rPr>
          <w:sz w:val="22"/>
          <w:szCs w:val="20"/>
        </w:rPr>
        <w:t xml:space="preserve"> </w:t>
      </w:r>
      <w:r w:rsidR="006E6E0D">
        <w:rPr>
          <w:sz w:val="22"/>
          <w:szCs w:val="20"/>
        </w:rPr>
        <w:t xml:space="preserve">Verify compliance </w:t>
      </w:r>
      <w:r w:rsidR="00DB29B4">
        <w:rPr>
          <w:sz w:val="22"/>
          <w:szCs w:val="20"/>
        </w:rPr>
        <w:t>with</w:t>
      </w:r>
      <w:r w:rsidR="006E6E0D">
        <w:rPr>
          <w:sz w:val="22"/>
          <w:szCs w:val="20"/>
        </w:rPr>
        <w:t xml:space="preserve"> </w:t>
      </w:r>
      <w:r w:rsidR="00DB29B4">
        <w:rPr>
          <w:sz w:val="22"/>
          <w:szCs w:val="20"/>
        </w:rPr>
        <w:t xml:space="preserve">statutory and </w:t>
      </w:r>
      <w:r w:rsidR="002C6367" w:rsidRPr="001A1672">
        <w:rPr>
          <w:sz w:val="22"/>
          <w:szCs w:val="20"/>
        </w:rPr>
        <w:t>regula</w:t>
      </w:r>
      <w:r w:rsidR="002C6367">
        <w:rPr>
          <w:sz w:val="22"/>
          <w:szCs w:val="20"/>
        </w:rPr>
        <w:t xml:space="preserve">tory </w:t>
      </w:r>
      <w:r w:rsidR="00606FC4">
        <w:rPr>
          <w:sz w:val="22"/>
          <w:szCs w:val="20"/>
        </w:rPr>
        <w:t>requirements</w:t>
      </w:r>
      <w:r w:rsidR="002C6367" w:rsidRPr="001A1672">
        <w:rPr>
          <w:sz w:val="22"/>
          <w:szCs w:val="20"/>
        </w:rPr>
        <w:t xml:space="preserve"> </w:t>
      </w:r>
      <w:r w:rsidR="006E6E0D">
        <w:rPr>
          <w:sz w:val="22"/>
          <w:szCs w:val="20"/>
        </w:rPr>
        <w:t xml:space="preserve">and </w:t>
      </w:r>
      <w:r w:rsidRPr="00F34373">
        <w:rPr>
          <w:sz w:val="22"/>
          <w:szCs w:val="20"/>
        </w:rPr>
        <w:t>adherence to</w:t>
      </w:r>
      <w:r w:rsidR="00394694">
        <w:rPr>
          <w:sz w:val="22"/>
          <w:szCs w:val="20"/>
        </w:rPr>
        <w:t xml:space="preserve"> </w:t>
      </w:r>
      <w:r w:rsidRPr="00F34373">
        <w:rPr>
          <w:sz w:val="22"/>
          <w:szCs w:val="20"/>
        </w:rPr>
        <w:t xml:space="preserve">Global Fund QA </w:t>
      </w:r>
      <w:r w:rsidR="008B737A">
        <w:rPr>
          <w:sz w:val="22"/>
          <w:szCs w:val="20"/>
        </w:rPr>
        <w:t>requirements for GSDP</w:t>
      </w:r>
      <w:r w:rsidR="00FA6F40">
        <w:rPr>
          <w:sz w:val="22"/>
          <w:szCs w:val="20"/>
        </w:rPr>
        <w:t xml:space="preserve"> </w:t>
      </w:r>
      <w:r w:rsidR="00FA6F40" w:rsidRPr="00FA6F40">
        <w:rPr>
          <w:sz w:val="22"/>
          <w:szCs w:val="20"/>
        </w:rPr>
        <w:t>across the</w:t>
      </w:r>
      <w:r w:rsidR="00FA6F40">
        <w:rPr>
          <w:sz w:val="22"/>
          <w:szCs w:val="20"/>
        </w:rPr>
        <w:t xml:space="preserve"> selected</w:t>
      </w:r>
      <w:r w:rsidR="00FA6F40" w:rsidRPr="00FA6F40">
        <w:rPr>
          <w:sz w:val="22"/>
          <w:szCs w:val="20"/>
        </w:rPr>
        <w:t xml:space="preserve"> supply chain actors.</w:t>
      </w:r>
    </w:p>
    <w:p w14:paraId="74D33646" w14:textId="4BE084BB" w:rsidR="00F34373" w:rsidRPr="00F34373" w:rsidRDefault="00F34373" w:rsidP="00AB3925">
      <w:pPr>
        <w:numPr>
          <w:ilvl w:val="0"/>
          <w:numId w:val="30"/>
        </w:numPr>
        <w:jc w:val="both"/>
        <w:rPr>
          <w:sz w:val="22"/>
          <w:szCs w:val="20"/>
        </w:rPr>
      </w:pPr>
      <w:r w:rsidRPr="000132E8">
        <w:rPr>
          <w:b/>
          <w:bCs/>
          <w:sz w:val="22"/>
          <w:szCs w:val="20"/>
        </w:rPr>
        <w:t>Process Review:</w:t>
      </w:r>
      <w:r w:rsidRPr="00F34373">
        <w:rPr>
          <w:sz w:val="22"/>
          <w:szCs w:val="20"/>
        </w:rPr>
        <w:t xml:space="preserve"> Assess the methods and procedures </w:t>
      </w:r>
      <w:r w:rsidR="00A4696F">
        <w:rPr>
          <w:sz w:val="22"/>
          <w:szCs w:val="20"/>
        </w:rPr>
        <w:t xml:space="preserve">in place at </w:t>
      </w:r>
      <w:r w:rsidR="00A4696F" w:rsidRPr="00A4696F">
        <w:rPr>
          <w:sz w:val="22"/>
          <w:szCs w:val="20"/>
        </w:rPr>
        <w:t>PRs, contractors, sub-recipients, and other storage/distribution entities</w:t>
      </w:r>
      <w:r w:rsidR="00A4696F" w:rsidRPr="00F34373">
        <w:rPr>
          <w:sz w:val="22"/>
          <w:szCs w:val="20"/>
        </w:rPr>
        <w:t xml:space="preserve"> </w:t>
      </w:r>
      <w:r w:rsidRPr="00F34373">
        <w:rPr>
          <w:sz w:val="22"/>
          <w:szCs w:val="20"/>
        </w:rPr>
        <w:t xml:space="preserve">for compliance with GSDP </w:t>
      </w:r>
      <w:r w:rsidR="00C56F7E">
        <w:rPr>
          <w:sz w:val="22"/>
          <w:szCs w:val="20"/>
        </w:rPr>
        <w:t xml:space="preserve">(including Inventory and risk management) </w:t>
      </w:r>
      <w:r w:rsidRPr="00F34373">
        <w:rPr>
          <w:sz w:val="22"/>
          <w:szCs w:val="20"/>
        </w:rPr>
        <w:t>and their effectiveness.</w:t>
      </w:r>
    </w:p>
    <w:p w14:paraId="261C383F" w14:textId="6C7AC251" w:rsidR="006A2981" w:rsidRPr="00B6581A" w:rsidRDefault="13F1309A" w:rsidP="00AB3925">
      <w:pPr>
        <w:numPr>
          <w:ilvl w:val="0"/>
          <w:numId w:val="30"/>
        </w:numPr>
        <w:jc w:val="both"/>
        <w:rPr>
          <w:sz w:val="22"/>
        </w:rPr>
      </w:pPr>
      <w:r w:rsidRPr="516088E6">
        <w:rPr>
          <w:b/>
          <w:bCs/>
          <w:sz w:val="22"/>
        </w:rPr>
        <w:t xml:space="preserve">On-Site </w:t>
      </w:r>
      <w:r w:rsidR="1F1AF37A" w:rsidRPr="516088E6">
        <w:rPr>
          <w:b/>
          <w:bCs/>
          <w:sz w:val="22"/>
        </w:rPr>
        <w:t xml:space="preserve">inspection </w:t>
      </w:r>
      <w:r w:rsidRPr="516088E6">
        <w:rPr>
          <w:b/>
          <w:bCs/>
          <w:sz w:val="22"/>
        </w:rPr>
        <w:t>and Desk Reviews</w:t>
      </w:r>
      <w:r w:rsidR="54727198" w:rsidRPr="516088E6">
        <w:rPr>
          <w:b/>
          <w:bCs/>
          <w:sz w:val="22"/>
        </w:rPr>
        <w:t xml:space="preserve">: </w:t>
      </w:r>
      <w:r w:rsidR="54727198" w:rsidRPr="516088E6">
        <w:rPr>
          <w:sz w:val="22"/>
        </w:rPr>
        <w:t xml:space="preserve">Conduct </w:t>
      </w:r>
      <w:r w:rsidR="5CA748F5" w:rsidRPr="516088E6">
        <w:rPr>
          <w:sz w:val="22"/>
        </w:rPr>
        <w:t>on-site inspections</w:t>
      </w:r>
      <w:r w:rsidR="5284526C" w:rsidRPr="516088E6">
        <w:rPr>
          <w:sz w:val="22"/>
        </w:rPr>
        <w:t xml:space="preserve"> and/or </w:t>
      </w:r>
      <w:r w:rsidR="54727198" w:rsidRPr="516088E6">
        <w:rPr>
          <w:sz w:val="22"/>
        </w:rPr>
        <w:t>desk reviews based on a sampling plan</w:t>
      </w:r>
      <w:r w:rsidR="00F96AB6">
        <w:rPr>
          <w:sz w:val="22"/>
        </w:rPr>
        <w:t xml:space="preserve"> agreed with the Global Fund Country Team prior to commencing the work</w:t>
      </w:r>
      <w:r w:rsidR="0014030C">
        <w:rPr>
          <w:rStyle w:val="FootnoteReference"/>
          <w:sz w:val="22"/>
        </w:rPr>
        <w:footnoteReference w:id="7"/>
      </w:r>
      <w:r w:rsidR="005F58A2">
        <w:rPr>
          <w:sz w:val="22"/>
        </w:rPr>
        <w:t xml:space="preserve">. </w:t>
      </w:r>
      <w:r w:rsidR="00F96AB6">
        <w:rPr>
          <w:sz w:val="22"/>
        </w:rPr>
        <w:t>Th</w:t>
      </w:r>
      <w:r w:rsidR="005F58A2">
        <w:rPr>
          <w:sz w:val="22"/>
        </w:rPr>
        <w:t>e sampling plan</w:t>
      </w:r>
      <w:r w:rsidR="54727198" w:rsidRPr="516088E6">
        <w:rPr>
          <w:sz w:val="22"/>
        </w:rPr>
        <w:t xml:space="preserve"> may vary depending on the context, risks identified, and findings. The LFA may decide to (</w:t>
      </w:r>
      <w:proofErr w:type="spellStart"/>
      <w:r w:rsidR="54727198" w:rsidRPr="516088E6">
        <w:rPr>
          <w:sz w:val="22"/>
        </w:rPr>
        <w:t>i</w:t>
      </w:r>
      <w:proofErr w:type="spellEnd"/>
      <w:r w:rsidR="54727198" w:rsidRPr="516088E6">
        <w:rPr>
          <w:sz w:val="22"/>
        </w:rPr>
        <w:t xml:space="preserve">) perform desk reviews at certain facilities, (ii) complement desk reviews with on-site inspections, or (iii) conduct stand-alone inspections where warranted. The decision on the </w:t>
      </w:r>
      <w:proofErr w:type="gramStart"/>
      <w:r w:rsidR="54727198" w:rsidRPr="516088E6">
        <w:rPr>
          <w:sz w:val="22"/>
        </w:rPr>
        <w:t>mix</w:t>
      </w:r>
      <w:proofErr w:type="gramEnd"/>
      <w:r w:rsidR="54727198" w:rsidRPr="516088E6">
        <w:rPr>
          <w:sz w:val="22"/>
        </w:rPr>
        <w:t xml:space="preserve"> and sequencing of desk reviews and on-site inspections should </w:t>
      </w:r>
      <w:r w:rsidR="00065FF8">
        <w:rPr>
          <w:sz w:val="22"/>
        </w:rPr>
        <w:t xml:space="preserve">be agreed with the Global Fund Country Team and </w:t>
      </w:r>
      <w:r w:rsidR="54727198" w:rsidRPr="516088E6">
        <w:rPr>
          <w:sz w:val="22"/>
        </w:rPr>
        <w:t>remain flexible, guided by risk assessment and the sampling approach.</w:t>
      </w:r>
    </w:p>
    <w:p w14:paraId="246CDD73" w14:textId="51C39DB3" w:rsidR="00327299" w:rsidRPr="00171194" w:rsidRDefault="632F0D4B" w:rsidP="00AB3925">
      <w:pPr>
        <w:pStyle w:val="Heading3"/>
        <w:jc w:val="both"/>
      </w:pPr>
      <w:r w:rsidRPr="516088E6">
        <w:t>Review of Documented Information</w:t>
      </w:r>
    </w:p>
    <w:p w14:paraId="2E50A5C3" w14:textId="03B35EAE" w:rsidR="00B8420C" w:rsidRPr="00171194" w:rsidRDefault="00CF63F6" w:rsidP="00AB3925">
      <w:pPr>
        <w:numPr>
          <w:ilvl w:val="0"/>
          <w:numId w:val="31"/>
        </w:numPr>
        <w:spacing w:after="0" w:line="240" w:lineRule="auto"/>
        <w:jc w:val="both"/>
        <w:rPr>
          <w:sz w:val="22"/>
        </w:rPr>
      </w:pPr>
      <w:r w:rsidRPr="00B8420C">
        <w:rPr>
          <w:sz w:val="22"/>
        </w:rPr>
        <w:t xml:space="preserve">Review applicable standard operating procedures, work instructions, internal policies, and other relevant documents at the PR and associated </w:t>
      </w:r>
      <w:r w:rsidR="00DD36EA" w:rsidRPr="00B8420C">
        <w:rPr>
          <w:sz w:val="22"/>
        </w:rPr>
        <w:t xml:space="preserve">transportation, </w:t>
      </w:r>
      <w:r w:rsidRPr="00B8420C">
        <w:rPr>
          <w:sz w:val="22"/>
        </w:rPr>
        <w:t>storage, and distribution facilities to assess compliance with Global Fund’s GSDP requirements, as well as WHO and FAO guidelines on Good Storage and Distribution Practices.</w:t>
      </w:r>
    </w:p>
    <w:p w14:paraId="06CD63F7" w14:textId="0C60D30D" w:rsidR="00327299" w:rsidRPr="00171194" w:rsidRDefault="24C3BCA7" w:rsidP="00AB3925">
      <w:pPr>
        <w:numPr>
          <w:ilvl w:val="0"/>
          <w:numId w:val="34"/>
        </w:numPr>
        <w:spacing w:after="0" w:line="240" w:lineRule="auto"/>
        <w:jc w:val="both"/>
        <w:rPr>
          <w:sz w:val="22"/>
        </w:rPr>
      </w:pPr>
      <w:r w:rsidRPr="516088E6">
        <w:rPr>
          <w:sz w:val="22"/>
        </w:rPr>
        <w:t>Review storage</w:t>
      </w:r>
      <w:r w:rsidR="31244159" w:rsidRPr="516088E6">
        <w:rPr>
          <w:sz w:val="22"/>
        </w:rPr>
        <w:t>,</w:t>
      </w:r>
      <w:r w:rsidRPr="516088E6">
        <w:rPr>
          <w:sz w:val="22"/>
        </w:rPr>
        <w:t xml:space="preserve"> </w:t>
      </w:r>
      <w:r w:rsidR="31244159" w:rsidRPr="516088E6">
        <w:rPr>
          <w:sz w:val="22"/>
        </w:rPr>
        <w:t>transport</w:t>
      </w:r>
      <w:r w:rsidR="1A298C47" w:rsidRPr="516088E6">
        <w:rPr>
          <w:sz w:val="22"/>
        </w:rPr>
        <w:t xml:space="preserve"> </w:t>
      </w:r>
      <w:r w:rsidRPr="516088E6">
        <w:rPr>
          <w:sz w:val="22"/>
        </w:rPr>
        <w:t xml:space="preserve">and distribution records, utilizing a sampling </w:t>
      </w:r>
      <w:r w:rsidR="457E4B74" w:rsidRPr="516088E6">
        <w:rPr>
          <w:sz w:val="22"/>
        </w:rPr>
        <w:t xml:space="preserve">plan </w:t>
      </w:r>
      <w:r w:rsidRPr="516088E6">
        <w:rPr>
          <w:sz w:val="22"/>
        </w:rPr>
        <w:t xml:space="preserve">where necessary to cover the </w:t>
      </w:r>
      <w:r w:rsidR="00A66D9C">
        <w:rPr>
          <w:sz w:val="22"/>
        </w:rPr>
        <w:t>studied</w:t>
      </w:r>
      <w:r w:rsidR="00A66D9C" w:rsidRPr="516088E6">
        <w:rPr>
          <w:sz w:val="22"/>
        </w:rPr>
        <w:t xml:space="preserve"> </w:t>
      </w:r>
      <w:r w:rsidRPr="516088E6">
        <w:rPr>
          <w:sz w:val="22"/>
        </w:rPr>
        <w:t>period.</w:t>
      </w:r>
    </w:p>
    <w:p w14:paraId="01FC6135" w14:textId="2B83841B" w:rsidR="00327299" w:rsidRDefault="00327299" w:rsidP="00AB3925">
      <w:pPr>
        <w:numPr>
          <w:ilvl w:val="0"/>
          <w:numId w:val="34"/>
        </w:numPr>
        <w:spacing w:after="0"/>
        <w:jc w:val="both"/>
        <w:rPr>
          <w:sz w:val="22"/>
          <w:szCs w:val="20"/>
        </w:rPr>
      </w:pPr>
      <w:r w:rsidRPr="00171194">
        <w:rPr>
          <w:sz w:val="22"/>
          <w:szCs w:val="20"/>
        </w:rPr>
        <w:t>Ensure the records demonstrate compliance with required storage conditions, inventory management, and product traceability.</w:t>
      </w:r>
    </w:p>
    <w:p w14:paraId="36F32DF6" w14:textId="74DE0E70" w:rsidR="006226FF" w:rsidRDefault="46992EF2" w:rsidP="00AB3925">
      <w:pPr>
        <w:numPr>
          <w:ilvl w:val="0"/>
          <w:numId w:val="34"/>
        </w:numPr>
        <w:spacing w:after="0"/>
        <w:jc w:val="both"/>
        <w:rPr>
          <w:sz w:val="22"/>
        </w:rPr>
      </w:pPr>
      <w:r w:rsidRPr="516088E6">
        <w:rPr>
          <w:sz w:val="22"/>
        </w:rPr>
        <w:t>Consideration should also be given to environmental factors during transportation, particularly in LMIC settings where uneven or all-weather roads may result in significant vibrations. These conditions may affect the integrity of health products (e.g. tablets</w:t>
      </w:r>
      <w:r w:rsidR="00F96AB6">
        <w:rPr>
          <w:sz w:val="22"/>
        </w:rPr>
        <w:t xml:space="preserve"> </w:t>
      </w:r>
      <w:r w:rsidRPr="516088E6">
        <w:rPr>
          <w:sz w:val="22"/>
        </w:rPr>
        <w:t xml:space="preserve">stored in containers). While manufacturers may not have explicitly defined storage or transport </w:t>
      </w:r>
      <w:r w:rsidRPr="516088E6">
        <w:rPr>
          <w:sz w:val="22"/>
        </w:rPr>
        <w:lastRenderedPageBreak/>
        <w:t>conditions related to vibration, discussions are ongoing (e.g., friability testing under consideration), and such risks should be acknowledged in the review.</w:t>
      </w:r>
    </w:p>
    <w:p w14:paraId="33036B66" w14:textId="39ADB943" w:rsidR="0072678D" w:rsidRDefault="007427AB" w:rsidP="00AB3925">
      <w:pPr>
        <w:numPr>
          <w:ilvl w:val="0"/>
          <w:numId w:val="34"/>
        </w:numPr>
        <w:spacing w:after="0"/>
        <w:jc w:val="both"/>
        <w:rPr>
          <w:sz w:val="22"/>
        </w:rPr>
      </w:pPr>
      <w:r w:rsidRPr="007427AB">
        <w:rPr>
          <w:sz w:val="22"/>
        </w:rPr>
        <w:t xml:space="preserve">Verify the availability </w:t>
      </w:r>
      <w:r w:rsidR="00045656">
        <w:rPr>
          <w:sz w:val="22"/>
        </w:rPr>
        <w:t xml:space="preserve">of </w:t>
      </w:r>
      <w:r w:rsidR="000107A5">
        <w:rPr>
          <w:sz w:val="22"/>
        </w:rPr>
        <w:t xml:space="preserve">records of </w:t>
      </w:r>
      <w:r w:rsidRPr="007427AB">
        <w:rPr>
          <w:sz w:val="22"/>
        </w:rPr>
        <w:t xml:space="preserve">calibration </w:t>
      </w:r>
      <w:r w:rsidR="00426636">
        <w:rPr>
          <w:sz w:val="22"/>
        </w:rPr>
        <w:t>activities</w:t>
      </w:r>
      <w:r w:rsidR="00796BAB">
        <w:rPr>
          <w:sz w:val="22"/>
        </w:rPr>
        <w:t xml:space="preserve"> </w:t>
      </w:r>
      <w:r w:rsidRPr="007427AB">
        <w:rPr>
          <w:sz w:val="22"/>
        </w:rPr>
        <w:t xml:space="preserve">of weight, temperature, and humidity monitoring equipment at defined intervals or prior to use, </w:t>
      </w:r>
      <w:r w:rsidR="00045656">
        <w:rPr>
          <w:sz w:val="22"/>
        </w:rPr>
        <w:t>and</w:t>
      </w:r>
    </w:p>
    <w:p w14:paraId="505FF85F" w14:textId="2C716354" w:rsidR="006226FF" w:rsidRDefault="00045656" w:rsidP="00AB3925">
      <w:pPr>
        <w:numPr>
          <w:ilvl w:val="0"/>
          <w:numId w:val="34"/>
        </w:numPr>
        <w:spacing w:after="0"/>
        <w:jc w:val="both"/>
        <w:rPr>
          <w:sz w:val="22"/>
        </w:rPr>
      </w:pPr>
      <w:r>
        <w:rPr>
          <w:sz w:val="22"/>
        </w:rPr>
        <w:t>R</w:t>
      </w:r>
      <w:r w:rsidR="007427AB" w:rsidRPr="007427AB">
        <w:rPr>
          <w:sz w:val="22"/>
        </w:rPr>
        <w:t>eview relevant records to confirm compliance of storage conditions with product-specific labeling requirements, inventory management practices, and GSDP standards.</w:t>
      </w:r>
    </w:p>
    <w:p w14:paraId="54D695A9" w14:textId="3472743F" w:rsidR="008E3ECC" w:rsidRPr="008E3ECC" w:rsidRDefault="0026216D" w:rsidP="00AB3925">
      <w:pPr>
        <w:spacing w:after="0"/>
        <w:ind w:left="360"/>
        <w:jc w:val="both"/>
        <w:rPr>
          <w:sz w:val="22"/>
          <w:szCs w:val="20"/>
        </w:rPr>
      </w:pPr>
      <w:r w:rsidRPr="0026216D">
        <w:rPr>
          <w:sz w:val="22"/>
          <w:szCs w:val="20"/>
        </w:rPr>
        <w:br/>
      </w:r>
    </w:p>
    <w:p w14:paraId="172E1C51" w14:textId="77777777" w:rsidR="002967A7" w:rsidRPr="00171194" w:rsidRDefault="002967A7" w:rsidP="00AB3925">
      <w:pPr>
        <w:pStyle w:val="Heading3"/>
        <w:jc w:val="both"/>
      </w:pPr>
      <w:r w:rsidRPr="00171194">
        <w:t>On-site Visit and Visual Inspection</w:t>
      </w:r>
    </w:p>
    <w:p w14:paraId="2792DA2F" w14:textId="45847984" w:rsidR="003C6B63" w:rsidRDefault="003C6B63" w:rsidP="00AB3925">
      <w:pPr>
        <w:numPr>
          <w:ilvl w:val="0"/>
          <w:numId w:val="32"/>
        </w:numPr>
        <w:spacing w:after="0"/>
        <w:jc w:val="both"/>
        <w:rPr>
          <w:sz w:val="22"/>
        </w:rPr>
      </w:pPr>
      <w:r w:rsidRPr="003C6B63">
        <w:rPr>
          <w:sz w:val="22"/>
        </w:rPr>
        <w:t xml:space="preserve">Conduct on-site visits guided by a </w:t>
      </w:r>
      <w:r w:rsidRPr="00AC32CC">
        <w:rPr>
          <w:sz w:val="22"/>
        </w:rPr>
        <w:t>sampling plan</w:t>
      </w:r>
      <w:r w:rsidRPr="003C6B63">
        <w:rPr>
          <w:sz w:val="22"/>
        </w:rPr>
        <w:t xml:space="preserve"> that reflects the diversity of facilities in scope (e.g., central medical stores, regional and district warehouses, hospital pharmacies, community pharmacies, and </w:t>
      </w:r>
      <w:r w:rsidR="00F13DE6" w:rsidRPr="00F13DE6">
        <w:rPr>
          <w:sz w:val="22"/>
        </w:rPr>
        <w:t>distribution points</w:t>
      </w:r>
      <w:r w:rsidRPr="003C6B63">
        <w:rPr>
          <w:sz w:val="22"/>
        </w:rPr>
        <w:t>). The sampling plan should be risk-based, considering factors such as product categories handled, throughput volumes, geographic spread, compliance history, and logistical complexity.</w:t>
      </w:r>
    </w:p>
    <w:p w14:paraId="00218E9D" w14:textId="7E0ABEC2" w:rsidR="003C6B63" w:rsidRDefault="683C8ED3" w:rsidP="00AB3925">
      <w:pPr>
        <w:numPr>
          <w:ilvl w:val="0"/>
          <w:numId w:val="32"/>
        </w:numPr>
        <w:spacing w:after="0"/>
        <w:jc w:val="both"/>
        <w:rPr>
          <w:sz w:val="22"/>
        </w:rPr>
      </w:pPr>
      <w:r w:rsidRPr="516088E6">
        <w:rPr>
          <w:sz w:val="22"/>
        </w:rPr>
        <w:t>At each selected site, perform a structured visual inspection of storage and distribution conditions, covering temperature and humidity control, monitoring equipment availability</w:t>
      </w:r>
      <w:r w:rsidR="32803D71" w:rsidRPr="516088E6">
        <w:rPr>
          <w:sz w:val="22"/>
        </w:rPr>
        <w:t>,</w:t>
      </w:r>
      <w:r w:rsidR="002C47A3">
        <w:rPr>
          <w:sz w:val="22"/>
        </w:rPr>
        <w:t xml:space="preserve"> </w:t>
      </w:r>
      <w:r w:rsidR="32803D71" w:rsidRPr="516088E6">
        <w:rPr>
          <w:sz w:val="22"/>
        </w:rPr>
        <w:t>identification</w:t>
      </w:r>
      <w:r w:rsidRPr="516088E6">
        <w:rPr>
          <w:sz w:val="22"/>
        </w:rPr>
        <w:t xml:space="preserve"> </w:t>
      </w:r>
      <w:r w:rsidR="00410D72">
        <w:rPr>
          <w:sz w:val="22"/>
        </w:rPr>
        <w:t xml:space="preserve">of the measuring equipment </w:t>
      </w:r>
      <w:r w:rsidRPr="516088E6">
        <w:rPr>
          <w:sz w:val="22"/>
        </w:rPr>
        <w:t xml:space="preserve">and </w:t>
      </w:r>
      <w:r w:rsidR="009534CF">
        <w:rPr>
          <w:sz w:val="22"/>
        </w:rPr>
        <w:t xml:space="preserve">their </w:t>
      </w:r>
      <w:r w:rsidR="00426636">
        <w:rPr>
          <w:sz w:val="22"/>
        </w:rPr>
        <w:t>status</w:t>
      </w:r>
      <w:r w:rsidR="009534CF">
        <w:rPr>
          <w:sz w:val="22"/>
        </w:rPr>
        <w:t xml:space="preserve"> </w:t>
      </w:r>
      <w:r w:rsidR="00426636">
        <w:rPr>
          <w:sz w:val="22"/>
        </w:rPr>
        <w:t xml:space="preserve">on </w:t>
      </w:r>
      <w:r w:rsidRPr="516088E6">
        <w:rPr>
          <w:sz w:val="22"/>
        </w:rPr>
        <w:t>calibration</w:t>
      </w:r>
      <w:r w:rsidR="6119AFDA" w:rsidRPr="516088E6">
        <w:rPr>
          <w:sz w:val="22"/>
        </w:rPr>
        <w:t xml:space="preserve"> )</w:t>
      </w:r>
      <w:r w:rsidRPr="516088E6">
        <w:rPr>
          <w:sz w:val="22"/>
        </w:rPr>
        <w:t>, cleanliness, shelving and stacking practices, segregation of products, pest control, and premises security.</w:t>
      </w:r>
    </w:p>
    <w:p w14:paraId="745161AD" w14:textId="13DE6636" w:rsidR="003C6B63" w:rsidRDefault="683C8ED3" w:rsidP="00AB3925">
      <w:pPr>
        <w:numPr>
          <w:ilvl w:val="0"/>
          <w:numId w:val="32"/>
        </w:numPr>
        <w:spacing w:after="0"/>
        <w:jc w:val="both"/>
        <w:rPr>
          <w:sz w:val="22"/>
        </w:rPr>
      </w:pPr>
      <w:r w:rsidRPr="516088E6">
        <w:rPr>
          <w:sz w:val="22"/>
        </w:rPr>
        <w:t xml:space="preserve">Verify </w:t>
      </w:r>
      <w:r w:rsidR="00EB3138">
        <w:rPr>
          <w:sz w:val="22"/>
        </w:rPr>
        <w:t xml:space="preserve">whether </w:t>
      </w:r>
      <w:r w:rsidRPr="516088E6">
        <w:rPr>
          <w:sz w:val="22"/>
        </w:rPr>
        <w:t>actual practices align with GSDP standards and product labeling requirements</w:t>
      </w:r>
      <w:r w:rsidR="00EB3138">
        <w:rPr>
          <w:sz w:val="22"/>
        </w:rPr>
        <w:t xml:space="preserve">, including whether </w:t>
      </w:r>
      <w:r w:rsidR="00EB3138" w:rsidRPr="516088E6">
        <w:rPr>
          <w:sz w:val="22"/>
        </w:rPr>
        <w:t>any</w:t>
      </w:r>
      <w:r w:rsidR="58DBC2D1" w:rsidRPr="516088E6">
        <w:rPr>
          <w:sz w:val="22"/>
        </w:rPr>
        <w:t xml:space="preserve"> non</w:t>
      </w:r>
      <w:r w:rsidR="00EB3138">
        <w:rPr>
          <w:sz w:val="22"/>
        </w:rPr>
        <w:t>-</w:t>
      </w:r>
      <w:r w:rsidR="58DBC2D1" w:rsidRPr="516088E6">
        <w:rPr>
          <w:sz w:val="22"/>
        </w:rPr>
        <w:t xml:space="preserve">conformance </w:t>
      </w:r>
      <w:r w:rsidR="00EB3138">
        <w:rPr>
          <w:sz w:val="22"/>
        </w:rPr>
        <w:t xml:space="preserve">is adequately addressed, </w:t>
      </w:r>
      <w:r w:rsidR="58DBC2D1" w:rsidRPr="516088E6">
        <w:rPr>
          <w:sz w:val="22"/>
        </w:rPr>
        <w:t>e.g.</w:t>
      </w:r>
      <w:r w:rsidR="00EB3138">
        <w:rPr>
          <w:sz w:val="22"/>
        </w:rPr>
        <w:t xml:space="preserve"> through adequate</w:t>
      </w:r>
      <w:r w:rsidR="58DBC2D1" w:rsidRPr="516088E6">
        <w:rPr>
          <w:sz w:val="22"/>
        </w:rPr>
        <w:t xml:space="preserve"> interim </w:t>
      </w:r>
      <w:r w:rsidR="011C4060" w:rsidRPr="516088E6">
        <w:rPr>
          <w:sz w:val="22"/>
        </w:rPr>
        <w:t xml:space="preserve">and/or </w:t>
      </w:r>
      <w:r w:rsidR="58DBC2D1" w:rsidRPr="516088E6">
        <w:rPr>
          <w:sz w:val="22"/>
        </w:rPr>
        <w:t>risk mitigating measures)</w:t>
      </w:r>
      <w:r w:rsidRPr="516088E6">
        <w:rPr>
          <w:sz w:val="22"/>
        </w:rPr>
        <w:t>.</w:t>
      </w:r>
    </w:p>
    <w:p w14:paraId="0C157AE4" w14:textId="4E9B7BDA" w:rsidR="003C6B63" w:rsidRDefault="683C8ED3" w:rsidP="00AB3925">
      <w:pPr>
        <w:numPr>
          <w:ilvl w:val="0"/>
          <w:numId w:val="32"/>
        </w:numPr>
        <w:spacing w:after="0"/>
        <w:jc w:val="both"/>
        <w:rPr>
          <w:sz w:val="22"/>
        </w:rPr>
      </w:pPr>
      <w:r w:rsidRPr="516088E6">
        <w:rPr>
          <w:sz w:val="22"/>
        </w:rPr>
        <w:t>Cross-check records on site (e.g., temperature logs, calibration certificates, inventory registers) to substantiate observed practices are consistent and sustained over time.</w:t>
      </w:r>
    </w:p>
    <w:p w14:paraId="7CDFA742" w14:textId="01FEBD0B" w:rsidR="004B6774" w:rsidRPr="003C6B63" w:rsidRDefault="683C8ED3" w:rsidP="00AB3925">
      <w:pPr>
        <w:numPr>
          <w:ilvl w:val="0"/>
          <w:numId w:val="32"/>
        </w:numPr>
        <w:spacing w:after="0"/>
        <w:jc w:val="both"/>
        <w:rPr>
          <w:sz w:val="22"/>
        </w:rPr>
      </w:pPr>
      <w:r w:rsidRPr="516088E6">
        <w:rPr>
          <w:sz w:val="22"/>
        </w:rPr>
        <w:t xml:space="preserve">Document observations systematically and ensure findings feed into the overall compliance assessment, including recommendations on whether additional desk reviews or targeted follow-up inspections </w:t>
      </w:r>
      <w:r w:rsidR="1939E2E8" w:rsidRPr="516088E6">
        <w:rPr>
          <w:sz w:val="22"/>
        </w:rPr>
        <w:t>are</w:t>
      </w:r>
      <w:r w:rsidRPr="516088E6">
        <w:rPr>
          <w:sz w:val="22"/>
        </w:rPr>
        <w:t xml:space="preserve"> required.</w:t>
      </w:r>
    </w:p>
    <w:p w14:paraId="5F3505D0" w14:textId="77777777" w:rsidR="00B4453C" w:rsidRPr="000132E8" w:rsidRDefault="00B4453C" w:rsidP="00AB3925">
      <w:pPr>
        <w:spacing w:after="0"/>
        <w:ind w:left="720"/>
        <w:jc w:val="both"/>
        <w:rPr>
          <w:sz w:val="22"/>
          <w:szCs w:val="20"/>
        </w:rPr>
      </w:pPr>
    </w:p>
    <w:p w14:paraId="224F0A37" w14:textId="77777777" w:rsidR="002967A7" w:rsidRPr="00171194" w:rsidRDefault="002967A7" w:rsidP="00AB3925">
      <w:pPr>
        <w:pStyle w:val="Heading3"/>
        <w:jc w:val="both"/>
      </w:pPr>
      <w:r w:rsidRPr="00171194">
        <w:t>Interviews and Knowledge Assessment</w:t>
      </w:r>
    </w:p>
    <w:p w14:paraId="714A53EC" w14:textId="330E0F01" w:rsidR="00423C45" w:rsidRDefault="00423C45" w:rsidP="00AB3925">
      <w:pPr>
        <w:numPr>
          <w:ilvl w:val="0"/>
          <w:numId w:val="33"/>
        </w:numPr>
        <w:spacing w:after="0"/>
        <w:jc w:val="both"/>
        <w:rPr>
          <w:sz w:val="22"/>
        </w:rPr>
      </w:pPr>
      <w:r w:rsidRPr="00423C45">
        <w:rPr>
          <w:sz w:val="22"/>
        </w:rPr>
        <w:t>Interview key personnel involved in the storage, distribution</w:t>
      </w:r>
      <w:r w:rsidR="00CF3FC0">
        <w:rPr>
          <w:sz w:val="22"/>
        </w:rPr>
        <w:t xml:space="preserve"> </w:t>
      </w:r>
      <w:r w:rsidRPr="00423C45">
        <w:rPr>
          <w:sz w:val="22"/>
        </w:rPr>
        <w:t>of health products, including PR representatives, medical store managers, distribution managers, logistics/supply managers, hospital and pharmacy staff, contractors/sub-recipients, and regulatory authorities.</w:t>
      </w:r>
    </w:p>
    <w:p w14:paraId="69545441" w14:textId="77777777" w:rsidR="00E83DFF" w:rsidRPr="00171194" w:rsidRDefault="00E83DFF" w:rsidP="00AB3925">
      <w:pPr>
        <w:spacing w:after="0"/>
        <w:jc w:val="both"/>
        <w:rPr>
          <w:sz w:val="22"/>
          <w:szCs w:val="20"/>
        </w:rPr>
      </w:pPr>
    </w:p>
    <w:p w14:paraId="7719DC68" w14:textId="6BA3CE3B" w:rsidR="00AE54FE" w:rsidRPr="002063CF" w:rsidRDefault="00AE54FE" w:rsidP="00AB3925">
      <w:pPr>
        <w:pStyle w:val="Heading1NonNumbered"/>
        <w:jc w:val="both"/>
      </w:pPr>
      <w:r>
        <w:t>Scope of the LFA review</w:t>
      </w:r>
    </w:p>
    <w:p w14:paraId="7C8483A1" w14:textId="507E0854" w:rsidR="0075312D" w:rsidRPr="00B0799C" w:rsidRDefault="00B0799C" w:rsidP="00AB3925">
      <w:pPr>
        <w:jc w:val="both"/>
        <w:rPr>
          <w:sz w:val="22"/>
        </w:rPr>
      </w:pPr>
      <w:r w:rsidRPr="66D89B9E">
        <w:rPr>
          <w:sz w:val="22"/>
        </w:rPr>
        <w:t xml:space="preserve">The LFA verification </w:t>
      </w:r>
      <w:r w:rsidR="001A5108">
        <w:rPr>
          <w:sz w:val="22"/>
        </w:rPr>
        <w:t>of</w:t>
      </w:r>
      <w:r w:rsidRPr="66D89B9E">
        <w:rPr>
          <w:sz w:val="22"/>
        </w:rPr>
        <w:t xml:space="preserve"> compliance with GSDP by </w:t>
      </w:r>
      <w:r w:rsidR="001A5108">
        <w:rPr>
          <w:sz w:val="22"/>
        </w:rPr>
        <w:t xml:space="preserve">the </w:t>
      </w:r>
      <w:r w:rsidRPr="66D89B9E">
        <w:rPr>
          <w:sz w:val="22"/>
        </w:rPr>
        <w:t xml:space="preserve">PR </w:t>
      </w:r>
      <w:r w:rsidR="00395FFA">
        <w:rPr>
          <w:sz w:val="22"/>
        </w:rPr>
        <w:t>should include the following</w:t>
      </w:r>
      <w:r w:rsidRPr="66D89B9E">
        <w:rPr>
          <w:sz w:val="22"/>
        </w:rPr>
        <w:t>:</w:t>
      </w:r>
    </w:p>
    <w:p w14:paraId="1462E8A0" w14:textId="1EADC4CD" w:rsidR="00B0799C" w:rsidRPr="00B0799C" w:rsidRDefault="00B0799C" w:rsidP="00AB3925">
      <w:pPr>
        <w:pStyle w:val="Heading3"/>
        <w:numPr>
          <w:ilvl w:val="2"/>
          <w:numId w:val="53"/>
        </w:numPr>
        <w:jc w:val="both"/>
      </w:pPr>
      <w:r w:rsidRPr="00B0799C">
        <w:t>Compliance Assessment</w:t>
      </w:r>
    </w:p>
    <w:p w14:paraId="6A2B4574" w14:textId="54F5B60B" w:rsidR="005F5491" w:rsidRPr="005A65B7" w:rsidRDefault="2BA63A2A" w:rsidP="00AB3925">
      <w:pPr>
        <w:pStyle w:val="ListParagraph"/>
        <w:numPr>
          <w:ilvl w:val="0"/>
          <w:numId w:val="25"/>
        </w:numPr>
        <w:jc w:val="both"/>
        <w:rPr>
          <w:sz w:val="22"/>
        </w:rPr>
      </w:pPr>
      <w:r w:rsidRPr="005A65B7">
        <w:rPr>
          <w:sz w:val="22"/>
        </w:rPr>
        <w:t xml:space="preserve">Confirmation </w:t>
      </w:r>
      <w:r w:rsidR="005A65B7" w:rsidRPr="009A232B">
        <w:rPr>
          <w:sz w:val="22"/>
        </w:rPr>
        <w:t>whether</w:t>
      </w:r>
      <w:r w:rsidR="005A65B7" w:rsidRPr="005A65B7">
        <w:rPr>
          <w:sz w:val="22"/>
        </w:rPr>
        <w:t xml:space="preserve"> </w:t>
      </w:r>
      <w:r w:rsidRPr="005A65B7">
        <w:rPr>
          <w:sz w:val="22"/>
        </w:rPr>
        <w:t xml:space="preserve">all </w:t>
      </w:r>
      <w:proofErr w:type="gramStart"/>
      <w:r w:rsidRPr="005A65B7">
        <w:rPr>
          <w:sz w:val="22"/>
        </w:rPr>
        <w:t>storage,</w:t>
      </w:r>
      <w:proofErr w:type="gramEnd"/>
      <w:r w:rsidRPr="005A65B7">
        <w:rPr>
          <w:sz w:val="22"/>
        </w:rPr>
        <w:t xml:space="preserve"> distribution facilities meet applicable </w:t>
      </w:r>
      <w:proofErr w:type="gramStart"/>
      <w:r w:rsidRPr="005A65B7">
        <w:rPr>
          <w:sz w:val="22"/>
        </w:rPr>
        <w:t>licensing,</w:t>
      </w:r>
      <w:proofErr w:type="gramEnd"/>
      <w:r w:rsidRPr="005A65B7">
        <w:rPr>
          <w:sz w:val="22"/>
        </w:rPr>
        <w:t xml:space="preserve"> requirements, as well as </w:t>
      </w:r>
      <w:r w:rsidR="005A65B7" w:rsidRPr="009A232B">
        <w:rPr>
          <w:sz w:val="22"/>
        </w:rPr>
        <w:t xml:space="preserve">whether they are </w:t>
      </w:r>
      <w:r w:rsidRPr="005A65B7">
        <w:rPr>
          <w:sz w:val="22"/>
        </w:rPr>
        <w:t>complian</w:t>
      </w:r>
      <w:r w:rsidR="005A65B7" w:rsidRPr="009A232B">
        <w:rPr>
          <w:sz w:val="22"/>
        </w:rPr>
        <w:t>t</w:t>
      </w:r>
      <w:r w:rsidRPr="005A65B7">
        <w:rPr>
          <w:sz w:val="22"/>
        </w:rPr>
        <w:t xml:space="preserve"> with Global Fund QA requirements for GSDP</w:t>
      </w:r>
      <w:r w:rsidR="005F5491" w:rsidRPr="005A65B7">
        <w:rPr>
          <w:sz w:val="22"/>
          <w:szCs w:val="20"/>
        </w:rPr>
        <w:t>.</w:t>
      </w:r>
    </w:p>
    <w:p w14:paraId="19F4F700" w14:textId="77777777" w:rsidR="00431215" w:rsidRPr="005A65B7" w:rsidRDefault="00431215" w:rsidP="00AB3925">
      <w:pPr>
        <w:pStyle w:val="ListParagraph"/>
        <w:jc w:val="both"/>
        <w:rPr>
          <w:sz w:val="22"/>
          <w:szCs w:val="20"/>
        </w:rPr>
      </w:pPr>
    </w:p>
    <w:p w14:paraId="74D785D5" w14:textId="1BE35613" w:rsidR="009D0370" w:rsidRPr="005A65B7" w:rsidRDefault="700ABEC5" w:rsidP="00AB3925">
      <w:pPr>
        <w:pStyle w:val="ListParagraph"/>
        <w:numPr>
          <w:ilvl w:val="0"/>
          <w:numId w:val="25"/>
        </w:numPr>
        <w:jc w:val="both"/>
        <w:rPr>
          <w:sz w:val="22"/>
          <w:szCs w:val="20"/>
        </w:rPr>
      </w:pPr>
      <w:r w:rsidRPr="005A65B7">
        <w:rPr>
          <w:b/>
          <w:bCs/>
          <w:sz w:val="22"/>
        </w:rPr>
        <w:lastRenderedPageBreak/>
        <w:t>Storage and Handling Conditions</w:t>
      </w:r>
      <w:r w:rsidRPr="005A65B7">
        <w:rPr>
          <w:sz w:val="22"/>
        </w:rPr>
        <w:t xml:space="preserve">: Verification that health products are </w:t>
      </w:r>
      <w:r w:rsidR="3E6E6088" w:rsidRPr="005A65B7">
        <w:rPr>
          <w:sz w:val="22"/>
        </w:rPr>
        <w:t xml:space="preserve">handled and </w:t>
      </w:r>
      <w:r w:rsidRPr="005A65B7">
        <w:rPr>
          <w:sz w:val="22"/>
        </w:rPr>
        <w:t xml:space="preserve">stored according to </w:t>
      </w:r>
      <w:r w:rsidR="7B8DE702" w:rsidRPr="005A65B7">
        <w:rPr>
          <w:sz w:val="22"/>
        </w:rPr>
        <w:t>GSDP</w:t>
      </w:r>
      <w:r w:rsidR="00537078" w:rsidRPr="005A65B7">
        <w:rPr>
          <w:sz w:val="22"/>
        </w:rPr>
        <w:t>, including compliance with labeling requirements</w:t>
      </w:r>
      <w:r w:rsidRPr="005A65B7">
        <w:rPr>
          <w:sz w:val="22"/>
        </w:rPr>
        <w:t>.</w:t>
      </w:r>
      <w:r w:rsidR="0041490D" w:rsidRPr="005A65B7">
        <w:rPr>
          <w:sz w:val="22"/>
        </w:rPr>
        <w:t xml:space="preserve"> </w:t>
      </w:r>
    </w:p>
    <w:p w14:paraId="0E6EE30A" w14:textId="081D04E8" w:rsidR="00B0799C" w:rsidRPr="005A65B7" w:rsidRDefault="00B0799C" w:rsidP="00AB3925">
      <w:pPr>
        <w:pStyle w:val="Heading3"/>
        <w:jc w:val="both"/>
        <w:rPr>
          <w:b/>
          <w:bCs/>
        </w:rPr>
      </w:pPr>
      <w:r w:rsidRPr="005A65B7">
        <w:rPr>
          <w:b/>
          <w:bCs/>
        </w:rPr>
        <w:t>Process Evaluation</w:t>
      </w:r>
    </w:p>
    <w:p w14:paraId="645CFBC9" w14:textId="7E9DD16D" w:rsidR="00B35AAC" w:rsidRPr="005A65B7" w:rsidRDefault="006A6352" w:rsidP="00AB3925">
      <w:pPr>
        <w:pStyle w:val="NormalWeb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A65B7">
        <w:rPr>
          <w:rStyle w:val="Strong"/>
          <w:rFonts w:asciiTheme="minorHAnsi" w:hAnsiTheme="minorHAnsi" w:cstheme="minorHAnsi"/>
          <w:sz w:val="22"/>
          <w:szCs w:val="22"/>
        </w:rPr>
        <w:t>Operating Procedures:</w:t>
      </w:r>
      <w:r w:rsidRPr="005A65B7">
        <w:rPr>
          <w:rFonts w:asciiTheme="minorHAnsi" w:hAnsiTheme="minorHAnsi" w:cstheme="minorHAnsi"/>
          <w:sz w:val="22"/>
          <w:szCs w:val="22"/>
        </w:rPr>
        <w:t xml:space="preserve"> </w:t>
      </w:r>
      <w:r w:rsidR="00784CA5" w:rsidRPr="00784CA5">
        <w:rPr>
          <w:rFonts w:asciiTheme="minorHAnsi" w:hAnsiTheme="minorHAnsi" w:cstheme="minorHAnsi"/>
          <w:sz w:val="22"/>
          <w:szCs w:val="22"/>
        </w:rPr>
        <w:t xml:space="preserve"> </w:t>
      </w:r>
      <w:r w:rsidR="00BD5F5D">
        <w:rPr>
          <w:rFonts w:asciiTheme="minorHAnsi" w:hAnsiTheme="minorHAnsi" w:cstheme="minorHAnsi"/>
          <w:sz w:val="22"/>
          <w:szCs w:val="22"/>
        </w:rPr>
        <w:t>Verify the</w:t>
      </w:r>
      <w:r w:rsidRPr="005A65B7">
        <w:rPr>
          <w:rFonts w:asciiTheme="minorHAnsi" w:hAnsiTheme="minorHAnsi" w:cstheme="minorHAnsi"/>
          <w:sz w:val="22"/>
          <w:szCs w:val="22"/>
        </w:rPr>
        <w:t xml:space="preserve"> existence, adequacy, and implementation of Standard Operating Procedures (SOPs) supporting GSDP compliance across the supply chain.</w:t>
      </w:r>
    </w:p>
    <w:p w14:paraId="2009D3C4" w14:textId="1EF1D413" w:rsidR="00B35AAC" w:rsidRPr="002063CF" w:rsidRDefault="00B35AAC" w:rsidP="00AB3925">
      <w:pPr>
        <w:pStyle w:val="NormalWeb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35AAC">
        <w:rPr>
          <w:rFonts w:asciiTheme="minorHAnsi" w:hAnsiTheme="minorHAnsi" w:cstheme="minorHAnsi"/>
          <w:b/>
          <w:bCs/>
          <w:sz w:val="22"/>
          <w:szCs w:val="22"/>
        </w:rPr>
        <w:t>Inventory Management</w:t>
      </w:r>
      <w:r w:rsidRPr="00B35AAC">
        <w:rPr>
          <w:rFonts w:asciiTheme="minorHAnsi" w:hAnsiTheme="minorHAnsi" w:cstheme="minorHAnsi"/>
          <w:sz w:val="22"/>
          <w:szCs w:val="22"/>
        </w:rPr>
        <w:t>: Verification of procedures ensuring proper inventory management, product traceability, and reconciliation across</w:t>
      </w:r>
      <w:r w:rsidRPr="002063CF">
        <w:rPr>
          <w:rFonts w:asciiTheme="minorHAnsi" w:hAnsiTheme="minorHAnsi" w:cstheme="minorHAnsi"/>
          <w:sz w:val="22"/>
          <w:szCs w:val="22"/>
        </w:rPr>
        <w:t xml:space="preserve"> storage, </w:t>
      </w:r>
      <w:r w:rsidR="00D0658C">
        <w:rPr>
          <w:rFonts w:asciiTheme="minorHAnsi" w:hAnsiTheme="minorHAnsi" w:cstheme="minorHAnsi"/>
          <w:sz w:val="22"/>
          <w:szCs w:val="22"/>
        </w:rPr>
        <w:t xml:space="preserve">transport and </w:t>
      </w:r>
      <w:r w:rsidRPr="002063CF">
        <w:rPr>
          <w:rFonts w:asciiTheme="minorHAnsi" w:hAnsiTheme="minorHAnsi" w:cstheme="minorHAnsi"/>
          <w:sz w:val="22"/>
          <w:szCs w:val="22"/>
        </w:rPr>
        <w:t>distribution</w:t>
      </w:r>
      <w:r w:rsidR="00A83F95">
        <w:rPr>
          <w:rFonts w:asciiTheme="minorHAnsi" w:hAnsiTheme="minorHAnsi" w:cstheme="minorHAnsi"/>
          <w:sz w:val="22"/>
          <w:szCs w:val="22"/>
        </w:rPr>
        <w:t>.</w:t>
      </w:r>
    </w:p>
    <w:p w14:paraId="7FF40008" w14:textId="7F911184" w:rsidR="00785D26" w:rsidRPr="001C14B3" w:rsidRDefault="00F922AB" w:rsidP="00AB3925">
      <w:pPr>
        <w:pStyle w:val="NormalWeb"/>
        <w:numPr>
          <w:ilvl w:val="0"/>
          <w:numId w:val="26"/>
        </w:numPr>
        <w:jc w:val="both"/>
      </w:pPr>
      <w:r w:rsidRPr="00FE5F46">
        <w:rPr>
          <w:rFonts w:asciiTheme="minorHAnsi" w:hAnsiTheme="minorHAnsi" w:cstheme="minorHAnsi"/>
          <w:b/>
          <w:bCs/>
          <w:sz w:val="22"/>
          <w:szCs w:val="22"/>
        </w:rPr>
        <w:t xml:space="preserve">Review of </w:t>
      </w:r>
      <w:r w:rsidR="00E2602E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="00306B94">
        <w:rPr>
          <w:rFonts w:asciiTheme="minorHAnsi" w:hAnsiTheme="minorHAnsi" w:cstheme="minorHAnsi"/>
          <w:b/>
          <w:bCs/>
          <w:sz w:val="22"/>
          <w:szCs w:val="22"/>
        </w:rPr>
        <w:t>epresentative based s</w:t>
      </w:r>
      <w:r w:rsidR="00785D26" w:rsidRPr="00784A82">
        <w:rPr>
          <w:rFonts w:asciiTheme="minorHAnsi" w:hAnsiTheme="minorHAnsi" w:cstheme="minorHAnsi"/>
          <w:b/>
          <w:bCs/>
          <w:sz w:val="22"/>
          <w:szCs w:val="22"/>
        </w:rPr>
        <w:t>ampling</w:t>
      </w:r>
      <w:r w:rsidR="00320308">
        <w:rPr>
          <w:rFonts w:asciiTheme="minorHAnsi" w:hAnsiTheme="minorHAnsi" w:cstheme="minorHAnsi"/>
          <w:b/>
          <w:bCs/>
          <w:sz w:val="22"/>
          <w:szCs w:val="22"/>
        </w:rPr>
        <w:t>, as considered feasible</w:t>
      </w:r>
      <w:r w:rsidR="00883AB5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785D26" w:rsidRPr="00784A8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2096D" w:rsidRPr="00784A82">
        <w:rPr>
          <w:rFonts w:asciiTheme="minorHAnsi" w:hAnsiTheme="minorHAnsi" w:cstheme="minorHAnsi"/>
          <w:sz w:val="22"/>
          <w:szCs w:val="22"/>
        </w:rPr>
        <w:t xml:space="preserve">LFA </w:t>
      </w:r>
      <w:r w:rsidR="00E426C3" w:rsidRPr="00784A82">
        <w:rPr>
          <w:rFonts w:asciiTheme="minorHAnsi" w:hAnsiTheme="minorHAnsi" w:cstheme="minorHAnsi"/>
          <w:sz w:val="22"/>
          <w:szCs w:val="22"/>
        </w:rPr>
        <w:t>findings</w:t>
      </w:r>
      <w:r w:rsidR="00D2096D" w:rsidRPr="00784A82">
        <w:rPr>
          <w:rFonts w:asciiTheme="minorHAnsi" w:hAnsiTheme="minorHAnsi" w:cstheme="minorHAnsi"/>
          <w:sz w:val="22"/>
          <w:szCs w:val="22"/>
        </w:rPr>
        <w:t xml:space="preserve"> shoul</w:t>
      </w:r>
      <w:r w:rsidR="00E426C3" w:rsidRPr="00784A82">
        <w:rPr>
          <w:rFonts w:asciiTheme="minorHAnsi" w:hAnsiTheme="minorHAnsi" w:cstheme="minorHAnsi"/>
          <w:sz w:val="22"/>
          <w:szCs w:val="22"/>
        </w:rPr>
        <w:t xml:space="preserve">d be </w:t>
      </w:r>
      <w:r w:rsidR="00883AB5">
        <w:rPr>
          <w:rFonts w:asciiTheme="minorHAnsi" w:hAnsiTheme="minorHAnsi" w:cstheme="minorHAnsi"/>
          <w:sz w:val="22"/>
          <w:szCs w:val="22"/>
        </w:rPr>
        <w:t>ideally</w:t>
      </w:r>
      <w:r w:rsidR="00320308">
        <w:rPr>
          <w:rFonts w:asciiTheme="minorHAnsi" w:hAnsiTheme="minorHAnsi" w:cstheme="minorHAnsi"/>
          <w:sz w:val="22"/>
          <w:szCs w:val="22"/>
        </w:rPr>
        <w:t xml:space="preserve"> </w:t>
      </w:r>
      <w:r w:rsidR="00E17409" w:rsidRPr="00784A82">
        <w:rPr>
          <w:rFonts w:asciiTheme="minorHAnsi" w:hAnsiTheme="minorHAnsi" w:cstheme="minorHAnsi"/>
          <w:sz w:val="22"/>
          <w:szCs w:val="22"/>
        </w:rPr>
        <w:t xml:space="preserve">collected </w:t>
      </w:r>
      <w:r w:rsidR="00883AB5">
        <w:rPr>
          <w:rFonts w:asciiTheme="minorHAnsi" w:hAnsiTheme="minorHAnsi" w:cstheme="minorHAnsi"/>
          <w:sz w:val="22"/>
          <w:szCs w:val="22"/>
        </w:rPr>
        <w:t>based on the</w:t>
      </w:r>
      <w:r w:rsidR="00E17409" w:rsidRPr="00784A82">
        <w:rPr>
          <w:rFonts w:asciiTheme="minorHAnsi" w:hAnsiTheme="minorHAnsi" w:cstheme="minorHAnsi"/>
          <w:sz w:val="22"/>
          <w:szCs w:val="22"/>
        </w:rPr>
        <w:t xml:space="preserve"> </w:t>
      </w:r>
      <w:r w:rsidR="00784A82" w:rsidRPr="00784A82">
        <w:rPr>
          <w:rFonts w:asciiTheme="minorHAnsi" w:hAnsiTheme="minorHAnsi" w:cstheme="minorHAnsi"/>
          <w:sz w:val="22"/>
          <w:szCs w:val="22"/>
        </w:rPr>
        <w:t xml:space="preserve">review of </w:t>
      </w:r>
      <w:r w:rsidR="00D83AAF">
        <w:rPr>
          <w:rFonts w:asciiTheme="minorHAnsi" w:hAnsiTheme="minorHAnsi" w:cstheme="minorHAnsi"/>
          <w:sz w:val="22"/>
          <w:szCs w:val="22"/>
        </w:rPr>
        <w:t xml:space="preserve">a </w:t>
      </w:r>
      <w:r w:rsidR="00784A82" w:rsidRPr="00784A82">
        <w:rPr>
          <w:rFonts w:asciiTheme="minorHAnsi" w:hAnsiTheme="minorHAnsi" w:cstheme="minorHAnsi"/>
          <w:sz w:val="22"/>
          <w:szCs w:val="22"/>
        </w:rPr>
        <w:t>representative sample of documentation and records</w:t>
      </w:r>
      <w:r w:rsidR="00D83AAF">
        <w:rPr>
          <w:rFonts w:asciiTheme="minorHAnsi" w:hAnsiTheme="minorHAnsi" w:cstheme="minorHAnsi"/>
          <w:sz w:val="22"/>
          <w:szCs w:val="22"/>
        </w:rPr>
        <w:t xml:space="preserve"> to provide sound evidence</w:t>
      </w:r>
      <w:r w:rsidR="009131DC">
        <w:rPr>
          <w:rFonts w:asciiTheme="minorHAnsi" w:hAnsiTheme="minorHAnsi" w:cstheme="minorHAnsi"/>
          <w:sz w:val="22"/>
          <w:szCs w:val="22"/>
        </w:rPr>
        <w:t>.</w:t>
      </w:r>
    </w:p>
    <w:p w14:paraId="14535DBF" w14:textId="3FF9A402" w:rsidR="00B0799C" w:rsidRPr="00B0799C" w:rsidRDefault="700ABEC5" w:rsidP="00AB3925">
      <w:pPr>
        <w:pStyle w:val="Heading3"/>
        <w:jc w:val="both"/>
      </w:pPr>
      <w:r w:rsidRPr="516088E6">
        <w:t xml:space="preserve">Risk </w:t>
      </w:r>
      <w:r w:rsidR="000B3376">
        <w:t>Management</w:t>
      </w:r>
    </w:p>
    <w:p w14:paraId="0E4B18D9" w14:textId="4CD64091" w:rsidR="00475C1C" w:rsidRDefault="1419D3F0" w:rsidP="00AB3925">
      <w:pPr>
        <w:numPr>
          <w:ilvl w:val="0"/>
          <w:numId w:val="28"/>
        </w:numPr>
        <w:jc w:val="both"/>
        <w:rPr>
          <w:sz w:val="22"/>
        </w:rPr>
      </w:pPr>
      <w:r w:rsidRPr="516088E6">
        <w:rPr>
          <w:b/>
          <w:bCs/>
          <w:sz w:val="22"/>
        </w:rPr>
        <w:t>Specific Health Products:</w:t>
      </w:r>
      <w:r w:rsidRPr="516088E6">
        <w:rPr>
          <w:sz w:val="22"/>
        </w:rPr>
        <w:t xml:space="preserve"> Evaluate </w:t>
      </w:r>
      <w:r w:rsidR="3758D924" w:rsidRPr="516088E6">
        <w:rPr>
          <w:sz w:val="22"/>
        </w:rPr>
        <w:t>if</w:t>
      </w:r>
      <w:r w:rsidRPr="516088E6">
        <w:rPr>
          <w:sz w:val="22"/>
        </w:rPr>
        <w:t xml:space="preserve"> appropriate risk management strategies are in place for </w:t>
      </w:r>
      <w:proofErr w:type="gramStart"/>
      <w:r w:rsidRPr="516088E6">
        <w:rPr>
          <w:sz w:val="22"/>
        </w:rPr>
        <w:t>handling,</w:t>
      </w:r>
      <w:proofErr w:type="gramEnd"/>
      <w:r w:rsidRPr="516088E6">
        <w:rPr>
          <w:sz w:val="22"/>
        </w:rPr>
        <w:t xml:space="preserve"> and </w:t>
      </w:r>
      <w:r w:rsidR="62A16D48" w:rsidRPr="516088E6">
        <w:rPr>
          <w:sz w:val="22"/>
        </w:rPr>
        <w:t>storing</w:t>
      </w:r>
      <w:r w:rsidRPr="516088E6">
        <w:rPr>
          <w:sz w:val="22"/>
        </w:rPr>
        <w:t xml:space="preserve"> specific health products, including high-risk or temperature-sensitive items. Assess how observed gaps from on-site inspections are addressed </w:t>
      </w:r>
      <w:r w:rsidR="20B72B20" w:rsidRPr="516088E6">
        <w:rPr>
          <w:sz w:val="22"/>
        </w:rPr>
        <w:t xml:space="preserve">and </w:t>
      </w:r>
      <w:r w:rsidR="0C9BD80D" w:rsidRPr="516088E6">
        <w:rPr>
          <w:sz w:val="22"/>
        </w:rPr>
        <w:t xml:space="preserve">associated </w:t>
      </w:r>
      <w:r w:rsidRPr="516088E6">
        <w:rPr>
          <w:sz w:val="22"/>
        </w:rPr>
        <w:t>risk</w:t>
      </w:r>
      <w:r w:rsidR="65A6AD9E" w:rsidRPr="516088E6">
        <w:rPr>
          <w:sz w:val="22"/>
        </w:rPr>
        <w:t>s</w:t>
      </w:r>
      <w:r w:rsidRPr="516088E6">
        <w:rPr>
          <w:sz w:val="22"/>
        </w:rPr>
        <w:t xml:space="preserve"> mitigat</w:t>
      </w:r>
      <w:r w:rsidR="1B302F18" w:rsidRPr="516088E6">
        <w:rPr>
          <w:sz w:val="22"/>
        </w:rPr>
        <w:t>ed</w:t>
      </w:r>
      <w:r w:rsidRPr="516088E6">
        <w:rPr>
          <w:sz w:val="22"/>
        </w:rPr>
        <w:t>.</w:t>
      </w:r>
    </w:p>
    <w:p w14:paraId="486B5095" w14:textId="6715B47F" w:rsidR="00475C1C" w:rsidRDefault="1419D3F0" w:rsidP="00AB3925">
      <w:pPr>
        <w:numPr>
          <w:ilvl w:val="0"/>
          <w:numId w:val="28"/>
        </w:numPr>
        <w:jc w:val="both"/>
        <w:rPr>
          <w:sz w:val="22"/>
        </w:rPr>
      </w:pPr>
      <w:r w:rsidRPr="516088E6">
        <w:rPr>
          <w:b/>
          <w:bCs/>
          <w:sz w:val="22"/>
        </w:rPr>
        <w:t>Staff Knowledge and Awareness:</w:t>
      </w:r>
      <w:r w:rsidRPr="516088E6">
        <w:rPr>
          <w:sz w:val="22"/>
        </w:rPr>
        <w:t xml:space="preserve"> Assess the understanding and competency of PR staff, hospital and pharmacy personnel, and other supply chain actors regarding Global Fund QA requirements and GSDP standards. Verify whether staff </w:t>
      </w:r>
      <w:r w:rsidR="4A486F90" w:rsidRPr="516088E6">
        <w:rPr>
          <w:sz w:val="22"/>
        </w:rPr>
        <w:t xml:space="preserve">involved in </w:t>
      </w:r>
      <w:r w:rsidR="7C33F6C3" w:rsidRPr="516088E6">
        <w:rPr>
          <w:sz w:val="22"/>
        </w:rPr>
        <w:t xml:space="preserve">transportation, </w:t>
      </w:r>
      <w:r w:rsidRPr="516088E6">
        <w:rPr>
          <w:sz w:val="22"/>
        </w:rPr>
        <w:t>storage</w:t>
      </w:r>
      <w:r w:rsidR="3DDEB8FE" w:rsidRPr="516088E6">
        <w:rPr>
          <w:sz w:val="22"/>
        </w:rPr>
        <w:t xml:space="preserve"> and</w:t>
      </w:r>
      <w:r w:rsidRPr="516088E6">
        <w:rPr>
          <w:sz w:val="22"/>
        </w:rPr>
        <w:t xml:space="preserve"> distribution, are aware of potential risks</w:t>
      </w:r>
      <w:r w:rsidR="1CF43E54" w:rsidRPr="516088E6">
        <w:rPr>
          <w:sz w:val="22"/>
        </w:rPr>
        <w:t xml:space="preserve"> and associated mitigation measures </w:t>
      </w:r>
      <w:r w:rsidRPr="516088E6">
        <w:rPr>
          <w:sz w:val="22"/>
        </w:rPr>
        <w:t>and trained to implement mitigation measures effectively.</w:t>
      </w:r>
    </w:p>
    <w:p w14:paraId="042A67EA" w14:textId="5546DBD8" w:rsidR="00475C1C" w:rsidRDefault="00904607" w:rsidP="00AB3925">
      <w:pPr>
        <w:numPr>
          <w:ilvl w:val="0"/>
          <w:numId w:val="28"/>
        </w:numPr>
        <w:jc w:val="both"/>
        <w:rPr>
          <w:sz w:val="22"/>
          <w:szCs w:val="20"/>
        </w:rPr>
      </w:pPr>
      <w:r w:rsidRPr="00475C1C">
        <w:rPr>
          <w:b/>
          <w:bCs/>
          <w:sz w:val="22"/>
          <w:szCs w:val="20"/>
        </w:rPr>
        <w:t>Preventive and Corrective Measures:</w:t>
      </w:r>
      <w:r w:rsidRPr="00475C1C">
        <w:rPr>
          <w:sz w:val="22"/>
          <w:szCs w:val="20"/>
        </w:rPr>
        <w:t xml:space="preserve"> Review documented procedures or actions taken to prevent, detect, and correct deviations from GSDP standards across storage, distribution</w:t>
      </w:r>
      <w:r w:rsidR="00A83F95">
        <w:rPr>
          <w:sz w:val="22"/>
          <w:szCs w:val="20"/>
        </w:rPr>
        <w:t xml:space="preserve"> </w:t>
      </w:r>
      <w:r w:rsidRPr="00475C1C">
        <w:rPr>
          <w:sz w:val="22"/>
          <w:szCs w:val="20"/>
        </w:rPr>
        <w:t>activities. Determine if measures are proportionate to identified risks and consistently applied.</w:t>
      </w:r>
    </w:p>
    <w:p w14:paraId="44A4A406" w14:textId="3829CBCD" w:rsidR="00FE492E" w:rsidRPr="00632416" w:rsidRDefault="00FE492E" w:rsidP="00AB3925">
      <w:pPr>
        <w:pStyle w:val="Heading1NonNumbered"/>
        <w:jc w:val="both"/>
      </w:pPr>
      <w:r w:rsidRPr="00632416">
        <w:t>Deliverables and Timeline</w:t>
      </w:r>
    </w:p>
    <w:p w14:paraId="7C4F2D0C" w14:textId="77777777" w:rsidR="00DC18A0" w:rsidRDefault="00FE492E" w:rsidP="00AB3925">
      <w:pPr>
        <w:jc w:val="both"/>
        <w:rPr>
          <w:rFonts w:ascii="Times New Roman" w:eastAsia="Times New Roman" w:hAnsi="Times New Roman" w:cs="Times New Roman"/>
          <w:b/>
          <w:bCs/>
          <w:szCs w:val="24"/>
        </w:rPr>
      </w:pPr>
      <w:r w:rsidRPr="00FE492E">
        <w:rPr>
          <w:sz w:val="22"/>
          <w:szCs w:val="20"/>
        </w:rPr>
        <w:t>The LFA is expected to provide the following deliverables:</w:t>
      </w:r>
      <w:r w:rsidR="00DC18A0" w:rsidRPr="00DC18A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</w:p>
    <w:p w14:paraId="392B17DF" w14:textId="0147ED97" w:rsidR="00DC18A0" w:rsidRPr="00DC18A0" w:rsidRDefault="00DC18A0" w:rsidP="00AB3925">
      <w:pPr>
        <w:pStyle w:val="Heading2NonNumbered"/>
        <w:jc w:val="both"/>
      </w:pPr>
      <w:r w:rsidRPr="00DC18A0">
        <w:t>Final Report</w:t>
      </w:r>
    </w:p>
    <w:p w14:paraId="453FA698" w14:textId="214250D2" w:rsidR="00DC18A0" w:rsidRPr="00DC18A0" w:rsidRDefault="00DC18A0" w:rsidP="00AB3925">
      <w:pPr>
        <w:numPr>
          <w:ilvl w:val="0"/>
          <w:numId w:val="23"/>
        </w:numPr>
        <w:jc w:val="both"/>
        <w:rPr>
          <w:sz w:val="22"/>
        </w:rPr>
      </w:pPr>
      <w:r w:rsidRPr="799002B2">
        <w:rPr>
          <w:b/>
          <w:bCs/>
          <w:sz w:val="22"/>
        </w:rPr>
        <w:t>Executive Summary:</w:t>
      </w:r>
      <w:r w:rsidRPr="799002B2">
        <w:rPr>
          <w:sz w:val="22"/>
        </w:rPr>
        <w:t xml:space="preserve"> </w:t>
      </w:r>
      <w:r w:rsidR="0BE1DA9B" w:rsidRPr="799002B2">
        <w:rPr>
          <w:sz w:val="22"/>
        </w:rPr>
        <w:t>Key findings</w:t>
      </w:r>
      <w:r w:rsidRPr="799002B2">
        <w:rPr>
          <w:sz w:val="22"/>
        </w:rPr>
        <w:t xml:space="preserve"> </w:t>
      </w:r>
      <w:r w:rsidR="00743058">
        <w:rPr>
          <w:sz w:val="22"/>
        </w:rPr>
        <w:t>and s</w:t>
      </w:r>
      <w:r w:rsidR="00743058" w:rsidRPr="00FE5F46">
        <w:rPr>
          <w:sz w:val="22"/>
        </w:rPr>
        <w:t xml:space="preserve">ummary </w:t>
      </w:r>
      <w:r w:rsidR="00743058" w:rsidRPr="00EC0BF1">
        <w:rPr>
          <w:sz w:val="22"/>
        </w:rPr>
        <w:t xml:space="preserve">of main recommendations </w:t>
      </w:r>
      <w:r w:rsidRPr="799002B2">
        <w:rPr>
          <w:sz w:val="22"/>
        </w:rPr>
        <w:t>prioritized based on significance.</w:t>
      </w:r>
    </w:p>
    <w:p w14:paraId="35E6F43B" w14:textId="2FB62412" w:rsidR="00DC18A0" w:rsidRPr="00DC18A0" w:rsidRDefault="00DC18A0" w:rsidP="00AB3925">
      <w:pPr>
        <w:numPr>
          <w:ilvl w:val="0"/>
          <w:numId w:val="23"/>
        </w:numPr>
        <w:jc w:val="both"/>
        <w:rPr>
          <w:sz w:val="22"/>
          <w:szCs w:val="20"/>
        </w:rPr>
      </w:pPr>
      <w:r w:rsidRPr="00DC18A0">
        <w:rPr>
          <w:b/>
          <w:bCs/>
          <w:sz w:val="22"/>
          <w:szCs w:val="20"/>
        </w:rPr>
        <w:t>Activity Description:</w:t>
      </w:r>
      <w:r w:rsidRPr="00DC18A0">
        <w:rPr>
          <w:sz w:val="22"/>
          <w:szCs w:val="20"/>
        </w:rPr>
        <w:t xml:space="preserve"> including tasks performed, documents reviewed, and stakeholders consulted</w:t>
      </w:r>
      <w:r w:rsidR="002D5BE3" w:rsidRPr="002D5BE3">
        <w:rPr>
          <w:sz w:val="22"/>
          <w:szCs w:val="20"/>
        </w:rPr>
        <w:t xml:space="preserve"> with confirmation of whether all planned verification activities were completed or, if not, identification of those not performed and explanation of reasons.</w:t>
      </w:r>
    </w:p>
    <w:p w14:paraId="1559F7DD" w14:textId="5AF67A6D" w:rsidR="001C7404" w:rsidRPr="00DC18A0" w:rsidRDefault="00DC18A0" w:rsidP="00AB3925">
      <w:pPr>
        <w:numPr>
          <w:ilvl w:val="0"/>
          <w:numId w:val="23"/>
        </w:numPr>
        <w:jc w:val="both"/>
        <w:rPr>
          <w:sz w:val="22"/>
          <w:szCs w:val="20"/>
        </w:rPr>
      </w:pPr>
      <w:r w:rsidRPr="00DC18A0">
        <w:rPr>
          <w:b/>
          <w:bCs/>
          <w:sz w:val="22"/>
          <w:szCs w:val="20"/>
        </w:rPr>
        <w:lastRenderedPageBreak/>
        <w:t>Issue Analysis:</w:t>
      </w:r>
      <w:r w:rsidRPr="00DC18A0">
        <w:rPr>
          <w:sz w:val="22"/>
          <w:szCs w:val="20"/>
        </w:rPr>
        <w:t xml:space="preserve"> Contextualized analysis of issues, risks identified</w:t>
      </w:r>
      <w:r w:rsidR="006218A1">
        <w:rPr>
          <w:sz w:val="22"/>
          <w:szCs w:val="20"/>
        </w:rPr>
        <w:t xml:space="preserve"> </w:t>
      </w:r>
      <w:r w:rsidR="00FF09E5">
        <w:rPr>
          <w:sz w:val="22"/>
          <w:szCs w:val="20"/>
        </w:rPr>
        <w:t xml:space="preserve">based on the </w:t>
      </w:r>
      <w:r w:rsidR="0075557F">
        <w:rPr>
          <w:sz w:val="22"/>
          <w:szCs w:val="20"/>
        </w:rPr>
        <w:t xml:space="preserve">severity </w:t>
      </w:r>
      <w:r w:rsidR="00FF09E5">
        <w:rPr>
          <w:sz w:val="22"/>
          <w:szCs w:val="20"/>
        </w:rPr>
        <w:t xml:space="preserve">of the observations </w:t>
      </w:r>
      <w:r w:rsidR="006218A1">
        <w:rPr>
          <w:sz w:val="22"/>
          <w:szCs w:val="20"/>
        </w:rPr>
        <w:t xml:space="preserve">(see annex </w:t>
      </w:r>
      <w:r w:rsidR="00FF240F">
        <w:rPr>
          <w:sz w:val="22"/>
          <w:szCs w:val="20"/>
        </w:rPr>
        <w:t xml:space="preserve">1 on the </w:t>
      </w:r>
      <w:r w:rsidR="007D50A6">
        <w:rPr>
          <w:sz w:val="22"/>
          <w:szCs w:val="20"/>
        </w:rPr>
        <w:t xml:space="preserve">GDF deficiencies </w:t>
      </w:r>
      <w:r w:rsidR="00FF240F">
        <w:rPr>
          <w:sz w:val="22"/>
          <w:szCs w:val="20"/>
        </w:rPr>
        <w:t>definition)</w:t>
      </w:r>
      <w:r w:rsidRPr="00DC18A0">
        <w:rPr>
          <w:sz w:val="22"/>
          <w:szCs w:val="20"/>
        </w:rPr>
        <w:t>,</w:t>
      </w:r>
      <w:r w:rsidR="001C7404" w:rsidRPr="009B324B">
        <w:rPr>
          <w:sz w:val="22"/>
          <w:szCs w:val="20"/>
        </w:rPr>
        <w:t xml:space="preserve"> with a summary of potential contributing factors.</w:t>
      </w:r>
    </w:p>
    <w:p w14:paraId="38FA7B0E" w14:textId="4FF82CC7" w:rsidR="004401DF" w:rsidRPr="006E24A3" w:rsidRDefault="00DC18A0" w:rsidP="00AB3925">
      <w:pPr>
        <w:numPr>
          <w:ilvl w:val="0"/>
          <w:numId w:val="23"/>
        </w:numPr>
        <w:jc w:val="both"/>
        <w:rPr>
          <w:sz w:val="22"/>
        </w:rPr>
      </w:pPr>
      <w:r w:rsidRPr="006E24A3">
        <w:rPr>
          <w:b/>
          <w:bCs/>
          <w:sz w:val="22"/>
          <w:szCs w:val="20"/>
        </w:rPr>
        <w:t>Recommendations:</w:t>
      </w:r>
      <w:r w:rsidRPr="006E24A3">
        <w:rPr>
          <w:sz w:val="22"/>
          <w:szCs w:val="20"/>
        </w:rPr>
        <w:t xml:space="preserve"> </w:t>
      </w:r>
      <w:r w:rsidR="004401DF" w:rsidRPr="006E24A3">
        <w:rPr>
          <w:sz w:val="22"/>
        </w:rPr>
        <w:t xml:space="preserve">Identification of areas requiring improvement, with </w:t>
      </w:r>
      <w:proofErr w:type="gramStart"/>
      <w:r w:rsidR="004401DF" w:rsidRPr="006E24A3">
        <w:rPr>
          <w:sz w:val="22"/>
        </w:rPr>
        <w:t>actionable</w:t>
      </w:r>
      <w:proofErr w:type="gramEnd"/>
      <w:r w:rsidR="004401DF" w:rsidRPr="006E24A3">
        <w:rPr>
          <w:sz w:val="22"/>
        </w:rPr>
        <w:t>, prioritized</w:t>
      </w:r>
      <w:r w:rsidR="000A53AE" w:rsidRPr="006E24A3">
        <w:rPr>
          <w:sz w:val="22"/>
        </w:rPr>
        <w:t xml:space="preserve"> according to risk level</w:t>
      </w:r>
      <w:r w:rsidR="004401DF" w:rsidRPr="006E24A3">
        <w:rPr>
          <w:sz w:val="22"/>
        </w:rPr>
        <w:t>, and time-bound recommendations to enhance compliance across transportation, storage and distribution:</w:t>
      </w:r>
    </w:p>
    <w:p w14:paraId="7C4FAD3C" w14:textId="77777777" w:rsidR="004401DF" w:rsidRDefault="004401DF" w:rsidP="00AB3925">
      <w:pPr>
        <w:numPr>
          <w:ilvl w:val="0"/>
          <w:numId w:val="29"/>
        </w:numPr>
        <w:jc w:val="both"/>
        <w:rPr>
          <w:sz w:val="22"/>
        </w:rPr>
      </w:pPr>
      <w:r w:rsidRPr="516088E6">
        <w:rPr>
          <w:sz w:val="22"/>
        </w:rPr>
        <w:t>Recommendations for strengthening oversight and monitoring mechanisms for subcontracted or external distribution points</w:t>
      </w:r>
      <w:r>
        <w:rPr>
          <w:sz w:val="22"/>
        </w:rPr>
        <w:t>, as relevant</w:t>
      </w:r>
      <w:r w:rsidRPr="516088E6">
        <w:rPr>
          <w:sz w:val="22"/>
        </w:rPr>
        <w:t xml:space="preserve"> (e.g., hospitals, pharmacies, and community outlets), to ensure alignment with GSDP and Global Fund QA requirements.</w:t>
      </w:r>
    </w:p>
    <w:p w14:paraId="17B5DF3E" w14:textId="77777777" w:rsidR="004401DF" w:rsidRDefault="004401DF" w:rsidP="00AB3925">
      <w:pPr>
        <w:numPr>
          <w:ilvl w:val="0"/>
          <w:numId w:val="29"/>
        </w:numPr>
        <w:jc w:val="both"/>
        <w:rPr>
          <w:sz w:val="22"/>
          <w:szCs w:val="20"/>
        </w:rPr>
      </w:pPr>
      <w:r w:rsidRPr="00023606">
        <w:rPr>
          <w:sz w:val="22"/>
          <w:szCs w:val="20"/>
        </w:rPr>
        <w:t xml:space="preserve">Suggestions for targeted training, guidance, </w:t>
      </w:r>
      <w:r>
        <w:rPr>
          <w:sz w:val="22"/>
          <w:szCs w:val="20"/>
        </w:rPr>
        <w:t xml:space="preserve">or technical assistance </w:t>
      </w:r>
      <w:r w:rsidRPr="00023606">
        <w:rPr>
          <w:sz w:val="22"/>
          <w:szCs w:val="20"/>
        </w:rPr>
        <w:t>where gaps in knowledge or practices are identified, to reduce risk of non-compliance.</w:t>
      </w:r>
    </w:p>
    <w:p w14:paraId="37421E86" w14:textId="77777777" w:rsidR="004401DF" w:rsidRPr="009D0B60" w:rsidRDefault="004401DF" w:rsidP="00AB3925">
      <w:pPr>
        <w:numPr>
          <w:ilvl w:val="0"/>
          <w:numId w:val="29"/>
        </w:numPr>
        <w:jc w:val="both"/>
        <w:rPr>
          <w:sz w:val="22"/>
        </w:rPr>
      </w:pPr>
      <w:r w:rsidRPr="516088E6">
        <w:rPr>
          <w:sz w:val="22"/>
        </w:rPr>
        <w:t xml:space="preserve">Where relevant, highlight </w:t>
      </w:r>
      <w:r>
        <w:rPr>
          <w:sz w:val="22"/>
        </w:rPr>
        <w:t xml:space="preserve">for identified </w:t>
      </w:r>
      <w:r w:rsidRPr="516088E6">
        <w:rPr>
          <w:sz w:val="22"/>
        </w:rPr>
        <w:t xml:space="preserve">systemic risks </w:t>
      </w:r>
      <w:r>
        <w:rPr>
          <w:sz w:val="22"/>
        </w:rPr>
        <w:t>which</w:t>
      </w:r>
      <w:r w:rsidRPr="516088E6">
        <w:rPr>
          <w:sz w:val="22"/>
        </w:rPr>
        <w:t xml:space="preserve"> high-level interventions or policy adjustments </w:t>
      </w:r>
      <w:r>
        <w:rPr>
          <w:sz w:val="22"/>
        </w:rPr>
        <w:t xml:space="preserve">may be required </w:t>
      </w:r>
      <w:r w:rsidRPr="516088E6">
        <w:rPr>
          <w:sz w:val="22"/>
        </w:rPr>
        <w:t>to ensure consistent QA across the supply chain.</w:t>
      </w:r>
    </w:p>
    <w:p w14:paraId="7E99BBB7" w14:textId="77777777" w:rsidR="004401DF" w:rsidRPr="00E36F3E" w:rsidRDefault="004401DF" w:rsidP="00AB3925">
      <w:pPr>
        <w:numPr>
          <w:ilvl w:val="0"/>
          <w:numId w:val="29"/>
        </w:numPr>
        <w:jc w:val="both"/>
        <w:rPr>
          <w:sz w:val="22"/>
          <w:szCs w:val="20"/>
        </w:rPr>
      </w:pPr>
      <w:r>
        <w:rPr>
          <w:sz w:val="22"/>
          <w:szCs w:val="20"/>
        </w:rPr>
        <w:t>As relevant, state any recommended measure the PR may need to take in relation to facilities under their direct control.</w:t>
      </w:r>
    </w:p>
    <w:p w14:paraId="789CD3D2" w14:textId="62F04E79" w:rsidR="00F9287D" w:rsidRPr="00411A09" w:rsidRDefault="00C926C8" w:rsidP="00AB3925">
      <w:pPr>
        <w:numPr>
          <w:ilvl w:val="0"/>
          <w:numId w:val="23"/>
        </w:numPr>
        <w:jc w:val="both"/>
        <w:rPr>
          <w:sz w:val="22"/>
          <w:szCs w:val="20"/>
        </w:rPr>
      </w:pPr>
      <w:r w:rsidRPr="00F9287D">
        <w:rPr>
          <w:b/>
          <w:bCs/>
          <w:sz w:val="22"/>
          <w:szCs w:val="20"/>
        </w:rPr>
        <w:t>A</w:t>
      </w:r>
      <w:r w:rsidR="00C42F90" w:rsidRPr="00F9287D">
        <w:rPr>
          <w:b/>
          <w:bCs/>
          <w:sz w:val="22"/>
          <w:szCs w:val="20"/>
        </w:rPr>
        <w:t>nnexes</w:t>
      </w:r>
      <w:r w:rsidR="00411A09" w:rsidRPr="00F9287D">
        <w:rPr>
          <w:sz w:val="22"/>
          <w:szCs w:val="20"/>
        </w:rPr>
        <w:t xml:space="preserve">: </w:t>
      </w:r>
      <w:r w:rsidR="00F9287D" w:rsidRPr="00F9287D">
        <w:rPr>
          <w:sz w:val="22"/>
          <w:szCs w:val="20"/>
        </w:rPr>
        <w:t>Supporting documented evidence relevant to the verification findings.</w:t>
      </w:r>
    </w:p>
    <w:p w14:paraId="29A0EB69" w14:textId="648ABD6F" w:rsidR="00426908" w:rsidRDefault="00426908" w:rsidP="00AB3925">
      <w:pPr>
        <w:pStyle w:val="Heading2NonNumbered"/>
        <w:jc w:val="both"/>
      </w:pPr>
      <w:r>
        <w:t>Timeline</w:t>
      </w:r>
    </w:p>
    <w:p w14:paraId="6EB3AD32" w14:textId="26235885" w:rsidR="00E34998" w:rsidRPr="00F9287D" w:rsidRDefault="003F47A3" w:rsidP="00AB3925">
      <w:pPr>
        <w:jc w:val="both"/>
        <w:rPr>
          <w:sz w:val="22"/>
        </w:rPr>
      </w:pPr>
      <w:r w:rsidRPr="36871702">
        <w:rPr>
          <w:sz w:val="22"/>
        </w:rPr>
        <w:t xml:space="preserve">The </w:t>
      </w:r>
      <w:r w:rsidR="00862444">
        <w:rPr>
          <w:sz w:val="22"/>
        </w:rPr>
        <w:t>f</w:t>
      </w:r>
      <w:r w:rsidRPr="36871702">
        <w:rPr>
          <w:sz w:val="22"/>
        </w:rPr>
        <w:t xml:space="preserve">inal Report should be issued within </w:t>
      </w:r>
      <w:r w:rsidR="00F34F25">
        <w:rPr>
          <w:sz w:val="22"/>
        </w:rPr>
        <w:t>a timeline agreed b</w:t>
      </w:r>
      <w:r w:rsidR="00EC1B34">
        <w:rPr>
          <w:sz w:val="22"/>
        </w:rPr>
        <w:t xml:space="preserve">etween the CT and the LFA </w:t>
      </w:r>
      <w:r w:rsidRPr="36871702">
        <w:rPr>
          <w:sz w:val="22"/>
        </w:rPr>
        <w:t>after</w:t>
      </w:r>
      <w:r w:rsidR="00E34998" w:rsidRPr="36871702">
        <w:rPr>
          <w:sz w:val="22"/>
        </w:rPr>
        <w:t xml:space="preserve"> completion of the on-site verification activities.</w:t>
      </w:r>
    </w:p>
    <w:p w14:paraId="6AEC3743" w14:textId="3507B1D8" w:rsidR="58630C91" w:rsidRDefault="00D1C584" w:rsidP="00AB3925">
      <w:pPr>
        <w:spacing w:after="0"/>
        <w:jc w:val="both"/>
        <w:rPr>
          <w:rFonts w:eastAsia="Arial" w:cs="Arial"/>
          <w:sz w:val="22"/>
        </w:rPr>
      </w:pPr>
      <w:r w:rsidRPr="008163E0">
        <w:rPr>
          <w:rFonts w:eastAsia="Arial" w:cs="Arial"/>
          <w:sz w:val="22"/>
        </w:rPr>
        <w:t xml:space="preserve">In cases where the LFA identifies </w:t>
      </w:r>
      <w:r w:rsidR="4208C3CD" w:rsidRPr="516088E6">
        <w:rPr>
          <w:rFonts w:eastAsia="Arial" w:cs="Arial"/>
          <w:sz w:val="22"/>
        </w:rPr>
        <w:t xml:space="preserve">any </w:t>
      </w:r>
      <w:r w:rsidRPr="00207B47">
        <w:rPr>
          <w:rFonts w:eastAsia="Arial" w:cs="Arial"/>
          <w:sz w:val="22"/>
        </w:rPr>
        <w:t xml:space="preserve">critical issues </w:t>
      </w:r>
      <w:proofErr w:type="gramStart"/>
      <w:r w:rsidRPr="00207B47">
        <w:rPr>
          <w:rFonts w:eastAsia="Arial" w:cs="Arial"/>
          <w:sz w:val="22"/>
        </w:rPr>
        <w:t>during the course of</w:t>
      </w:r>
      <w:proofErr w:type="gramEnd"/>
      <w:r w:rsidRPr="00207B47">
        <w:rPr>
          <w:rFonts w:eastAsia="Arial" w:cs="Arial"/>
          <w:sz w:val="22"/>
        </w:rPr>
        <w:t xml:space="preserve"> the LFA review/verification, such as major risks to patients’ wellbeing due to poor quality, safety</w:t>
      </w:r>
      <w:r w:rsidR="45C5E822" w:rsidRPr="516088E6">
        <w:rPr>
          <w:rFonts w:eastAsia="Arial" w:cs="Arial"/>
          <w:sz w:val="22"/>
        </w:rPr>
        <w:t>, efficacy</w:t>
      </w:r>
      <w:r w:rsidRPr="008163E0">
        <w:rPr>
          <w:rFonts w:eastAsia="Arial" w:cs="Arial"/>
          <w:sz w:val="22"/>
        </w:rPr>
        <w:t xml:space="preserve"> or performance issues, </w:t>
      </w:r>
      <w:r w:rsidR="396E3DDA" w:rsidRPr="516088E6">
        <w:rPr>
          <w:rFonts w:eastAsia="Arial" w:cs="Arial"/>
          <w:sz w:val="22"/>
        </w:rPr>
        <w:t>it</w:t>
      </w:r>
      <w:r w:rsidRPr="008163E0">
        <w:rPr>
          <w:rFonts w:eastAsia="Arial" w:cs="Arial"/>
          <w:sz w:val="22"/>
        </w:rPr>
        <w:t xml:space="preserve"> </w:t>
      </w:r>
      <w:r w:rsidR="673EDB4F" w:rsidRPr="516088E6">
        <w:rPr>
          <w:rFonts w:eastAsia="Arial" w:cs="Arial"/>
          <w:sz w:val="22"/>
        </w:rPr>
        <w:t>must</w:t>
      </w:r>
      <w:r w:rsidRPr="008163E0">
        <w:rPr>
          <w:rFonts w:eastAsia="Arial" w:cs="Arial"/>
          <w:sz w:val="22"/>
        </w:rPr>
        <w:t xml:space="preserve"> alert the Global Fund Country Team </w:t>
      </w:r>
      <w:r w:rsidR="44D2E9C2" w:rsidRPr="516088E6">
        <w:rPr>
          <w:rFonts w:eastAsia="Arial" w:cs="Arial"/>
          <w:sz w:val="22"/>
        </w:rPr>
        <w:t xml:space="preserve">with </w:t>
      </w:r>
      <w:r w:rsidR="439A3003" w:rsidRPr="516088E6">
        <w:rPr>
          <w:rFonts w:eastAsia="Arial" w:cs="Arial"/>
          <w:sz w:val="22"/>
        </w:rPr>
        <w:t xml:space="preserve">the details of </w:t>
      </w:r>
      <w:r w:rsidRPr="008163E0">
        <w:rPr>
          <w:rFonts w:eastAsia="Arial" w:cs="Arial"/>
          <w:sz w:val="22"/>
        </w:rPr>
        <w:t xml:space="preserve">such issues </w:t>
      </w:r>
      <w:r w:rsidRPr="008163E0">
        <w:rPr>
          <w:rFonts w:eastAsia="Arial" w:cs="Arial"/>
          <w:b/>
          <w:bCs/>
          <w:sz w:val="22"/>
        </w:rPr>
        <w:t>immediately</w:t>
      </w:r>
      <w:r w:rsidRPr="008163E0">
        <w:rPr>
          <w:rFonts w:eastAsia="Arial" w:cs="Arial"/>
          <w:sz w:val="22"/>
        </w:rPr>
        <w:t xml:space="preserve"> without waiting for the finalization of the LFA report</w:t>
      </w:r>
      <w:r w:rsidRPr="516088E6">
        <w:rPr>
          <w:rFonts w:eastAsia="Arial" w:cs="Arial"/>
          <w:sz w:val="22"/>
        </w:rPr>
        <w:t>.</w:t>
      </w:r>
    </w:p>
    <w:p w14:paraId="6095FF87" w14:textId="77777777" w:rsidR="0031735C" w:rsidRPr="00360B1B" w:rsidRDefault="0031735C" w:rsidP="00AB3925">
      <w:pPr>
        <w:spacing w:after="0"/>
        <w:ind w:left="720"/>
        <w:jc w:val="both"/>
        <w:rPr>
          <w:sz w:val="22"/>
        </w:rPr>
      </w:pPr>
    </w:p>
    <w:p w14:paraId="0EEFAB44" w14:textId="63377732" w:rsidR="00A07F98" w:rsidRPr="00632416" w:rsidRDefault="009E10F3" w:rsidP="00AB3925">
      <w:pPr>
        <w:pStyle w:val="Heading1NonNumbered"/>
        <w:jc w:val="both"/>
      </w:pPr>
      <w:r w:rsidRPr="00632416">
        <w:t>Service Delivery</w:t>
      </w:r>
    </w:p>
    <w:p w14:paraId="6936C84D" w14:textId="60FB5F6C" w:rsidR="009E10F3" w:rsidRPr="000E4D89" w:rsidRDefault="032E7D18" w:rsidP="00AB3925">
      <w:pPr>
        <w:pStyle w:val="BodyText"/>
        <w:spacing w:before="122" w:after="0" w:line="259" w:lineRule="auto"/>
        <w:ind w:left="90" w:right="229"/>
        <w:jc w:val="both"/>
        <w:rPr>
          <w:sz w:val="22"/>
        </w:rPr>
      </w:pPr>
      <w:r w:rsidRPr="516088E6">
        <w:rPr>
          <w:sz w:val="22"/>
        </w:rPr>
        <w:t>This verification should be undertaken by the LFA PSM Expert. S/he</w:t>
      </w:r>
      <w:r w:rsidRPr="516088E6">
        <w:rPr>
          <w:spacing w:val="-2"/>
          <w:sz w:val="22"/>
        </w:rPr>
        <w:t xml:space="preserve"> </w:t>
      </w:r>
      <w:r w:rsidRPr="516088E6">
        <w:rPr>
          <w:sz w:val="22"/>
        </w:rPr>
        <w:t>can</w:t>
      </w:r>
      <w:r w:rsidRPr="516088E6">
        <w:rPr>
          <w:spacing w:val="-3"/>
          <w:sz w:val="22"/>
        </w:rPr>
        <w:t xml:space="preserve"> </w:t>
      </w:r>
      <w:r w:rsidRPr="516088E6">
        <w:rPr>
          <w:sz w:val="22"/>
        </w:rPr>
        <w:t>be</w:t>
      </w:r>
      <w:r w:rsidRPr="516088E6">
        <w:rPr>
          <w:spacing w:val="-1"/>
          <w:sz w:val="22"/>
        </w:rPr>
        <w:t xml:space="preserve"> </w:t>
      </w:r>
      <w:r w:rsidRPr="516088E6">
        <w:rPr>
          <w:sz w:val="22"/>
        </w:rPr>
        <w:t>supported, as</w:t>
      </w:r>
      <w:r w:rsidRPr="516088E6">
        <w:rPr>
          <w:spacing w:val="-2"/>
          <w:sz w:val="22"/>
        </w:rPr>
        <w:t xml:space="preserve"> </w:t>
      </w:r>
      <w:r w:rsidRPr="516088E6">
        <w:rPr>
          <w:sz w:val="22"/>
        </w:rPr>
        <w:t>needed,</w:t>
      </w:r>
      <w:r w:rsidRPr="516088E6">
        <w:rPr>
          <w:spacing w:val="-4"/>
          <w:sz w:val="22"/>
        </w:rPr>
        <w:t xml:space="preserve"> </w:t>
      </w:r>
      <w:r w:rsidRPr="516088E6">
        <w:rPr>
          <w:sz w:val="22"/>
        </w:rPr>
        <w:t>by other</w:t>
      </w:r>
      <w:r w:rsidRPr="516088E6">
        <w:rPr>
          <w:spacing w:val="-2"/>
          <w:sz w:val="22"/>
        </w:rPr>
        <w:t xml:space="preserve"> </w:t>
      </w:r>
      <w:r w:rsidRPr="516088E6">
        <w:rPr>
          <w:sz w:val="22"/>
        </w:rPr>
        <w:t>LFA</w:t>
      </w:r>
      <w:r w:rsidRPr="516088E6">
        <w:rPr>
          <w:spacing w:val="-4"/>
          <w:sz w:val="22"/>
        </w:rPr>
        <w:t xml:space="preserve"> </w:t>
      </w:r>
      <w:r w:rsidRPr="516088E6">
        <w:rPr>
          <w:sz w:val="22"/>
        </w:rPr>
        <w:t>team members in the planning and during the verification</w:t>
      </w:r>
      <w:r w:rsidR="5B979B3D" w:rsidRPr="516088E6">
        <w:rPr>
          <w:sz w:val="22"/>
        </w:rPr>
        <w:t xml:space="preserve"> but remains accountable for</w:t>
      </w:r>
      <w:r w:rsidR="5B979B3D" w:rsidRPr="516088E6">
        <w:rPr>
          <w:spacing w:val="-2"/>
          <w:sz w:val="22"/>
        </w:rPr>
        <w:t xml:space="preserve"> </w:t>
      </w:r>
      <w:r w:rsidR="5B979B3D" w:rsidRPr="516088E6">
        <w:rPr>
          <w:sz w:val="22"/>
        </w:rPr>
        <w:t>the</w:t>
      </w:r>
      <w:r w:rsidR="5B979B3D" w:rsidRPr="516088E6">
        <w:rPr>
          <w:spacing w:val="-8"/>
          <w:sz w:val="22"/>
        </w:rPr>
        <w:t xml:space="preserve"> </w:t>
      </w:r>
      <w:r w:rsidR="5B979B3D" w:rsidRPr="516088E6">
        <w:rPr>
          <w:sz w:val="22"/>
        </w:rPr>
        <w:t>technical</w:t>
      </w:r>
      <w:r w:rsidR="5B979B3D" w:rsidRPr="516088E6">
        <w:rPr>
          <w:spacing w:val="-2"/>
          <w:sz w:val="22"/>
        </w:rPr>
        <w:t xml:space="preserve"> </w:t>
      </w:r>
      <w:r w:rsidR="5B979B3D" w:rsidRPr="516088E6">
        <w:rPr>
          <w:sz w:val="22"/>
        </w:rPr>
        <w:t>content</w:t>
      </w:r>
      <w:r w:rsidR="5B979B3D" w:rsidRPr="516088E6">
        <w:rPr>
          <w:spacing w:val="-3"/>
          <w:sz w:val="22"/>
        </w:rPr>
        <w:t xml:space="preserve"> </w:t>
      </w:r>
      <w:r w:rsidR="5B979B3D" w:rsidRPr="516088E6">
        <w:rPr>
          <w:sz w:val="22"/>
        </w:rPr>
        <w:t>of</w:t>
      </w:r>
      <w:r w:rsidR="5B979B3D" w:rsidRPr="516088E6">
        <w:rPr>
          <w:spacing w:val="-2"/>
          <w:sz w:val="22"/>
        </w:rPr>
        <w:t xml:space="preserve"> </w:t>
      </w:r>
      <w:r w:rsidR="5B979B3D" w:rsidRPr="516088E6">
        <w:rPr>
          <w:sz w:val="22"/>
        </w:rPr>
        <w:t>this</w:t>
      </w:r>
      <w:r w:rsidR="5B979B3D" w:rsidRPr="516088E6">
        <w:rPr>
          <w:spacing w:val="-3"/>
          <w:sz w:val="22"/>
        </w:rPr>
        <w:t xml:space="preserve"> </w:t>
      </w:r>
      <w:r w:rsidR="5B979B3D" w:rsidRPr="516088E6">
        <w:rPr>
          <w:sz w:val="22"/>
        </w:rPr>
        <w:t>report</w:t>
      </w:r>
      <w:r w:rsidRPr="516088E6">
        <w:rPr>
          <w:sz w:val="22"/>
        </w:rPr>
        <w:t>.</w:t>
      </w:r>
    </w:p>
    <w:p w14:paraId="2D36425A" w14:textId="1F80FDC7" w:rsidR="009E10F3" w:rsidRPr="000E4D89" w:rsidRDefault="009E10F3" w:rsidP="00AB3925">
      <w:pPr>
        <w:pStyle w:val="BodyText"/>
        <w:spacing w:before="124" w:after="0" w:line="259" w:lineRule="auto"/>
        <w:ind w:left="90" w:right="228"/>
        <w:jc w:val="both"/>
        <w:rPr>
          <w:sz w:val="22"/>
        </w:rPr>
      </w:pPr>
      <w:r w:rsidRPr="000E4D89">
        <w:rPr>
          <w:sz w:val="22"/>
        </w:rPr>
        <w:t>The</w:t>
      </w:r>
      <w:r w:rsidRPr="000E4D89">
        <w:rPr>
          <w:spacing w:val="-4"/>
          <w:sz w:val="22"/>
        </w:rPr>
        <w:t xml:space="preserve"> </w:t>
      </w:r>
      <w:proofErr w:type="spellStart"/>
      <w:r w:rsidRPr="000E4D89">
        <w:rPr>
          <w:sz w:val="22"/>
        </w:rPr>
        <w:t>LoE</w:t>
      </w:r>
      <w:proofErr w:type="spellEnd"/>
      <w:r w:rsidRPr="000E4D89">
        <w:rPr>
          <w:spacing w:val="-7"/>
          <w:sz w:val="22"/>
        </w:rPr>
        <w:t xml:space="preserve"> </w:t>
      </w:r>
      <w:r w:rsidRPr="000E4D89">
        <w:rPr>
          <w:sz w:val="22"/>
        </w:rPr>
        <w:t>for</w:t>
      </w:r>
      <w:r w:rsidRPr="000E4D89">
        <w:rPr>
          <w:spacing w:val="-5"/>
          <w:sz w:val="22"/>
        </w:rPr>
        <w:t xml:space="preserve"> </w:t>
      </w:r>
      <w:r w:rsidRPr="000E4D89">
        <w:rPr>
          <w:sz w:val="22"/>
        </w:rPr>
        <w:t>this</w:t>
      </w:r>
      <w:r w:rsidRPr="000E4D89">
        <w:rPr>
          <w:spacing w:val="-6"/>
          <w:sz w:val="22"/>
        </w:rPr>
        <w:t xml:space="preserve"> </w:t>
      </w:r>
      <w:r w:rsidRPr="000E4D89">
        <w:rPr>
          <w:sz w:val="22"/>
        </w:rPr>
        <w:t>verification</w:t>
      </w:r>
      <w:r w:rsidRPr="000E4D89">
        <w:rPr>
          <w:spacing w:val="-4"/>
          <w:sz w:val="22"/>
        </w:rPr>
        <w:t xml:space="preserve"> </w:t>
      </w:r>
      <w:r w:rsidRPr="000E4D89">
        <w:rPr>
          <w:sz w:val="22"/>
        </w:rPr>
        <w:t>exercise,</w:t>
      </w:r>
      <w:r w:rsidRPr="000E4D89">
        <w:rPr>
          <w:spacing w:val="-3"/>
          <w:sz w:val="22"/>
        </w:rPr>
        <w:t xml:space="preserve"> </w:t>
      </w:r>
      <w:r w:rsidRPr="000E4D89">
        <w:rPr>
          <w:sz w:val="22"/>
        </w:rPr>
        <w:t>including</w:t>
      </w:r>
      <w:r w:rsidRPr="000E4D89">
        <w:rPr>
          <w:spacing w:val="-6"/>
          <w:sz w:val="22"/>
        </w:rPr>
        <w:t xml:space="preserve"> </w:t>
      </w:r>
      <w:r w:rsidRPr="000E4D89">
        <w:rPr>
          <w:sz w:val="22"/>
        </w:rPr>
        <w:t>report</w:t>
      </w:r>
      <w:r w:rsidRPr="000E4D89">
        <w:rPr>
          <w:spacing w:val="-2"/>
          <w:sz w:val="22"/>
        </w:rPr>
        <w:t xml:space="preserve"> </w:t>
      </w:r>
      <w:r w:rsidRPr="000E4D89">
        <w:rPr>
          <w:sz w:val="22"/>
        </w:rPr>
        <w:t>writing,</w:t>
      </w:r>
      <w:r w:rsidRPr="000E4D89">
        <w:rPr>
          <w:spacing w:val="-2"/>
          <w:sz w:val="22"/>
        </w:rPr>
        <w:t xml:space="preserve"> </w:t>
      </w:r>
      <w:r w:rsidRPr="000E4D89">
        <w:rPr>
          <w:sz w:val="22"/>
        </w:rPr>
        <w:t>depends</w:t>
      </w:r>
      <w:r w:rsidRPr="000E4D89">
        <w:rPr>
          <w:spacing w:val="-5"/>
          <w:sz w:val="22"/>
        </w:rPr>
        <w:t xml:space="preserve"> </w:t>
      </w:r>
      <w:r w:rsidRPr="000E4D89">
        <w:rPr>
          <w:sz w:val="22"/>
        </w:rPr>
        <w:t>on</w:t>
      </w:r>
      <w:r w:rsidRPr="000E4D89">
        <w:rPr>
          <w:spacing w:val="-10"/>
          <w:sz w:val="22"/>
        </w:rPr>
        <w:t xml:space="preserve"> </w:t>
      </w:r>
      <w:r w:rsidRPr="000E4D89">
        <w:rPr>
          <w:sz w:val="22"/>
        </w:rPr>
        <w:t>the</w:t>
      </w:r>
      <w:r w:rsidRPr="000E4D89">
        <w:rPr>
          <w:spacing w:val="-7"/>
          <w:sz w:val="22"/>
        </w:rPr>
        <w:t xml:space="preserve"> </w:t>
      </w:r>
      <w:r w:rsidRPr="000E4D89">
        <w:rPr>
          <w:sz w:val="22"/>
        </w:rPr>
        <w:t>elements</w:t>
      </w:r>
      <w:r w:rsidRPr="000E4D89">
        <w:rPr>
          <w:spacing w:val="-6"/>
          <w:sz w:val="22"/>
        </w:rPr>
        <w:t xml:space="preserve"> </w:t>
      </w:r>
      <w:r w:rsidRPr="000E4D89">
        <w:rPr>
          <w:sz w:val="22"/>
        </w:rPr>
        <w:t>of</w:t>
      </w:r>
      <w:r w:rsidRPr="000E4D89">
        <w:rPr>
          <w:spacing w:val="-7"/>
          <w:sz w:val="22"/>
        </w:rPr>
        <w:t xml:space="preserve"> </w:t>
      </w:r>
      <w:r w:rsidRPr="000E4D89">
        <w:rPr>
          <w:sz w:val="22"/>
        </w:rPr>
        <w:t xml:space="preserve">the </w:t>
      </w:r>
      <w:proofErr w:type="spellStart"/>
      <w:r w:rsidRPr="000E4D89">
        <w:rPr>
          <w:sz w:val="22"/>
        </w:rPr>
        <w:t>ToR</w:t>
      </w:r>
      <w:proofErr w:type="spellEnd"/>
      <w:r w:rsidRPr="000E4D89">
        <w:rPr>
          <w:sz w:val="22"/>
        </w:rPr>
        <w:t xml:space="preserve"> and the number and location of service delivery sites that are effectively included in the</w:t>
      </w:r>
      <w:r w:rsidR="00A07293">
        <w:rPr>
          <w:sz w:val="22"/>
        </w:rPr>
        <w:t xml:space="preserve"> </w:t>
      </w:r>
      <w:r w:rsidRPr="000E4D89">
        <w:rPr>
          <w:spacing w:val="-2"/>
          <w:sz w:val="22"/>
        </w:rPr>
        <w:t>review.</w:t>
      </w:r>
    </w:p>
    <w:p w14:paraId="259A0E2C" w14:textId="16EA576F" w:rsidR="009E10F3" w:rsidRDefault="002D3D93" w:rsidP="00AB3925">
      <w:pPr>
        <w:pStyle w:val="BodyText"/>
        <w:spacing w:before="177"/>
        <w:ind w:left="90"/>
        <w:jc w:val="both"/>
      </w:pPr>
      <w:r w:rsidRPr="008170B9">
        <w:rPr>
          <w:sz w:val="22"/>
        </w:rPr>
        <w:lastRenderedPageBreak/>
        <w:t xml:space="preserve">The </w:t>
      </w:r>
      <w:proofErr w:type="spellStart"/>
      <w:r w:rsidRPr="008170B9">
        <w:rPr>
          <w:sz w:val="22"/>
        </w:rPr>
        <w:t>LoE</w:t>
      </w:r>
      <w:proofErr w:type="spellEnd"/>
      <w:r w:rsidRPr="008170B9">
        <w:rPr>
          <w:sz w:val="22"/>
        </w:rPr>
        <w:t xml:space="preserve"> </w:t>
      </w:r>
      <w:r>
        <w:rPr>
          <w:sz w:val="22"/>
        </w:rPr>
        <w:t xml:space="preserve">should </w:t>
      </w:r>
      <w:r w:rsidR="009E10F3" w:rsidRPr="000E4D89">
        <w:rPr>
          <w:sz w:val="22"/>
        </w:rPr>
        <w:t>be</w:t>
      </w:r>
      <w:r w:rsidR="009E10F3" w:rsidRPr="000E4D89">
        <w:rPr>
          <w:spacing w:val="-12"/>
          <w:sz w:val="22"/>
        </w:rPr>
        <w:t xml:space="preserve"> </w:t>
      </w:r>
      <w:r w:rsidR="009E10F3" w:rsidRPr="000E4D89">
        <w:rPr>
          <w:sz w:val="22"/>
        </w:rPr>
        <w:t>agreed</w:t>
      </w:r>
      <w:r w:rsidR="009E10F3" w:rsidRPr="000E4D89">
        <w:rPr>
          <w:spacing w:val="-5"/>
          <w:sz w:val="22"/>
        </w:rPr>
        <w:t xml:space="preserve"> </w:t>
      </w:r>
      <w:r w:rsidR="009E10F3" w:rsidRPr="000E4D89">
        <w:rPr>
          <w:sz w:val="22"/>
        </w:rPr>
        <w:t>beforehand</w:t>
      </w:r>
      <w:r w:rsidR="009E10F3" w:rsidRPr="000E4D89">
        <w:rPr>
          <w:spacing w:val="-7"/>
          <w:sz w:val="22"/>
        </w:rPr>
        <w:t xml:space="preserve"> </w:t>
      </w:r>
      <w:r w:rsidR="009E10F3" w:rsidRPr="000E4D89">
        <w:rPr>
          <w:sz w:val="22"/>
        </w:rPr>
        <w:t>between</w:t>
      </w:r>
      <w:r w:rsidR="009E10F3" w:rsidRPr="000E4D89">
        <w:rPr>
          <w:spacing w:val="-13"/>
          <w:sz w:val="22"/>
        </w:rPr>
        <w:t xml:space="preserve"> </w:t>
      </w:r>
      <w:r w:rsidR="009E10F3" w:rsidRPr="000E4D89">
        <w:rPr>
          <w:sz w:val="22"/>
        </w:rPr>
        <w:t>the</w:t>
      </w:r>
      <w:r w:rsidR="009E10F3" w:rsidRPr="000E4D89">
        <w:rPr>
          <w:spacing w:val="-8"/>
          <w:sz w:val="22"/>
        </w:rPr>
        <w:t xml:space="preserve"> </w:t>
      </w:r>
      <w:r w:rsidR="009E10F3" w:rsidRPr="000E4D89">
        <w:rPr>
          <w:sz w:val="22"/>
        </w:rPr>
        <w:t>Global</w:t>
      </w:r>
      <w:r w:rsidR="009E10F3" w:rsidRPr="000E4D89">
        <w:rPr>
          <w:spacing w:val="-8"/>
          <w:sz w:val="22"/>
        </w:rPr>
        <w:t xml:space="preserve"> </w:t>
      </w:r>
      <w:r w:rsidR="009E10F3" w:rsidRPr="000E4D89">
        <w:rPr>
          <w:sz w:val="22"/>
        </w:rPr>
        <w:t>Fund</w:t>
      </w:r>
      <w:r w:rsidR="009E10F3" w:rsidRPr="000E4D89">
        <w:rPr>
          <w:spacing w:val="-11"/>
          <w:sz w:val="22"/>
        </w:rPr>
        <w:t xml:space="preserve"> </w:t>
      </w:r>
      <w:r w:rsidR="009E10F3" w:rsidRPr="000E4D89">
        <w:rPr>
          <w:sz w:val="22"/>
        </w:rPr>
        <w:t>Country</w:t>
      </w:r>
      <w:r w:rsidR="009E10F3" w:rsidRPr="000E4D89">
        <w:rPr>
          <w:spacing w:val="-7"/>
          <w:sz w:val="22"/>
        </w:rPr>
        <w:t xml:space="preserve"> </w:t>
      </w:r>
      <w:r w:rsidR="009E10F3" w:rsidRPr="000E4D89">
        <w:rPr>
          <w:sz w:val="22"/>
        </w:rPr>
        <w:t>Team</w:t>
      </w:r>
      <w:r w:rsidR="009E10F3" w:rsidRPr="000E4D89">
        <w:rPr>
          <w:spacing w:val="-5"/>
          <w:sz w:val="22"/>
        </w:rPr>
        <w:t xml:space="preserve"> </w:t>
      </w:r>
      <w:r w:rsidR="00F301C4">
        <w:rPr>
          <w:spacing w:val="-5"/>
          <w:sz w:val="22"/>
        </w:rPr>
        <w:t xml:space="preserve">(CT/HPM) </w:t>
      </w:r>
      <w:r w:rsidR="009E10F3" w:rsidRPr="000E4D89">
        <w:rPr>
          <w:sz w:val="22"/>
        </w:rPr>
        <w:t>and</w:t>
      </w:r>
      <w:r w:rsidR="009E10F3" w:rsidRPr="000E4D89">
        <w:rPr>
          <w:spacing w:val="-12"/>
          <w:sz w:val="22"/>
        </w:rPr>
        <w:t xml:space="preserve"> </w:t>
      </w:r>
      <w:r w:rsidR="009E10F3" w:rsidRPr="000E4D89">
        <w:rPr>
          <w:sz w:val="22"/>
        </w:rPr>
        <w:t>the</w:t>
      </w:r>
      <w:r w:rsidR="009E10F3" w:rsidRPr="000E4D89">
        <w:rPr>
          <w:spacing w:val="-10"/>
          <w:sz w:val="22"/>
        </w:rPr>
        <w:t xml:space="preserve"> </w:t>
      </w:r>
      <w:r w:rsidR="009E10F3" w:rsidRPr="000E4D89">
        <w:rPr>
          <w:spacing w:val="-4"/>
          <w:sz w:val="22"/>
        </w:rPr>
        <w:t>LFA</w:t>
      </w:r>
      <w:r>
        <w:rPr>
          <w:spacing w:val="-4"/>
          <w:sz w:val="22"/>
        </w:rPr>
        <w:t xml:space="preserve">, </w:t>
      </w:r>
      <w:r w:rsidRPr="008170B9">
        <w:rPr>
          <w:sz w:val="22"/>
        </w:rPr>
        <w:t xml:space="preserve">considering the elements of the </w:t>
      </w:r>
      <w:proofErr w:type="spellStart"/>
      <w:r w:rsidRPr="008170B9">
        <w:rPr>
          <w:sz w:val="22"/>
        </w:rPr>
        <w:t>ToR</w:t>
      </w:r>
      <w:proofErr w:type="spellEnd"/>
      <w:r w:rsidRPr="008170B9">
        <w:rPr>
          <w:sz w:val="22"/>
        </w:rPr>
        <w:t xml:space="preserve"> and the number and location of service delivery sites included in the review.</w:t>
      </w:r>
    </w:p>
    <w:p w14:paraId="0567DCB2" w14:textId="44BA6C66" w:rsidR="009E10F3" w:rsidRPr="0040792A" w:rsidRDefault="009E10F3" w:rsidP="00AB3925">
      <w:pPr>
        <w:pStyle w:val="Heading1NonNumbered"/>
        <w:jc w:val="both"/>
      </w:pPr>
      <w:r w:rsidRPr="0040792A">
        <w:t>Reference documentation</w:t>
      </w:r>
    </w:p>
    <w:p w14:paraId="306C012A" w14:textId="1AF776CB" w:rsidR="00AB3925" w:rsidRPr="00AB3925" w:rsidRDefault="00155B50" w:rsidP="00EE6512">
      <w:pPr>
        <w:pStyle w:val="ListParagraph"/>
        <w:numPr>
          <w:ilvl w:val="0"/>
          <w:numId w:val="20"/>
        </w:numPr>
        <w:tabs>
          <w:tab w:val="left" w:pos="360"/>
        </w:tabs>
        <w:spacing w:before="120" w:after="160" w:line="259" w:lineRule="auto"/>
        <w:jc w:val="both"/>
        <w:rPr>
          <w:sz w:val="22"/>
          <w:lang w:val="en-GB"/>
        </w:rPr>
      </w:pPr>
      <w:r w:rsidRPr="00AB3925">
        <w:rPr>
          <w:sz w:val="22"/>
          <w:lang w:val="en-GB"/>
        </w:rPr>
        <w:t xml:space="preserve">Guide to Global Fund Policies on Procurement and Supply Management of Health Products </w:t>
      </w:r>
      <w:hyperlink r:id="rId13" w:history="1">
        <w:r w:rsidR="00AB3925" w:rsidRPr="00BD5122">
          <w:rPr>
            <w:rStyle w:val="Hyperlink"/>
          </w:rPr>
          <w:t>https://www.theglobalfund.o</w:t>
        </w:r>
        <w:r w:rsidR="00AB3925" w:rsidRPr="00BD5122">
          <w:rPr>
            <w:rStyle w:val="Hyperlink"/>
          </w:rPr>
          <w:t>r</w:t>
        </w:r>
        <w:r w:rsidR="00AB3925" w:rsidRPr="00BD5122">
          <w:rPr>
            <w:rStyle w:val="Hyperlink"/>
          </w:rPr>
          <w:t>g/media/5873/psm_procurementsupplymanagement_guidelines_en.pdf</w:t>
        </w:r>
      </w:hyperlink>
      <w:r w:rsidR="00AB3925" w:rsidRPr="00AB3925">
        <w:t xml:space="preserve"> </w:t>
      </w:r>
    </w:p>
    <w:p w14:paraId="7975E2D0" w14:textId="2B45D0E7" w:rsidR="00913E8A" w:rsidRPr="00AB3925" w:rsidRDefault="00913E8A" w:rsidP="00EE6512">
      <w:pPr>
        <w:pStyle w:val="ListParagraph"/>
        <w:numPr>
          <w:ilvl w:val="0"/>
          <w:numId w:val="20"/>
        </w:numPr>
        <w:tabs>
          <w:tab w:val="left" w:pos="360"/>
        </w:tabs>
        <w:spacing w:before="120" w:after="160" w:line="259" w:lineRule="auto"/>
        <w:jc w:val="both"/>
        <w:rPr>
          <w:sz w:val="22"/>
          <w:lang w:val="en-GB"/>
        </w:rPr>
      </w:pPr>
      <w:r w:rsidRPr="00AB3925">
        <w:rPr>
          <w:sz w:val="22"/>
          <w:lang w:val="en-GB"/>
        </w:rPr>
        <w:t xml:space="preserve">WHO Good Storage and Distribution Practices </w:t>
      </w:r>
      <w:r w:rsidR="001F1A9A" w:rsidRPr="00AB3925">
        <w:rPr>
          <w:sz w:val="22"/>
          <w:lang w:val="en-GB"/>
        </w:rPr>
        <w:t xml:space="preserve">for Medical Products </w:t>
      </w:r>
      <w:r w:rsidRPr="00AB3925">
        <w:rPr>
          <w:sz w:val="22"/>
          <w:lang w:val="en-GB"/>
        </w:rPr>
        <w:t>in WHO Technical Report Series,</w:t>
      </w:r>
      <w:r w:rsidR="001F1A9A" w:rsidRPr="00AB3925">
        <w:rPr>
          <w:sz w:val="22"/>
          <w:lang w:val="en-GB"/>
        </w:rPr>
        <w:t xml:space="preserve"> Annex 7</w:t>
      </w:r>
      <w:r w:rsidRPr="00AB3925">
        <w:rPr>
          <w:sz w:val="22"/>
          <w:lang w:val="en-GB"/>
        </w:rPr>
        <w:t xml:space="preserve"> No. 1025, 2020</w:t>
      </w:r>
    </w:p>
    <w:p w14:paraId="4DA9900A" w14:textId="4E248E1B" w:rsidR="007A450B" w:rsidRPr="009139BC" w:rsidRDefault="005654E8" w:rsidP="00AB3925">
      <w:pPr>
        <w:pStyle w:val="ListParagraph"/>
        <w:numPr>
          <w:ilvl w:val="0"/>
          <w:numId w:val="20"/>
        </w:numPr>
        <w:tabs>
          <w:tab w:val="left" w:pos="360"/>
        </w:tabs>
        <w:spacing w:before="120" w:after="160" w:line="259" w:lineRule="auto"/>
        <w:jc w:val="both"/>
        <w:rPr>
          <w:sz w:val="22"/>
          <w:lang w:val="en-GB"/>
        </w:rPr>
      </w:pPr>
      <w:r w:rsidRPr="36871702">
        <w:rPr>
          <w:sz w:val="22"/>
        </w:rPr>
        <w:t>FAO Guidelines on retail distribution of pesticides with reference to storage and handling at the point of supply to users in developing countries available at </w:t>
      </w:r>
      <w:hyperlink r:id="rId14">
        <w:r w:rsidRPr="36871702">
          <w:rPr>
            <w:rStyle w:val="Hyperlink"/>
            <w:sz w:val="22"/>
          </w:rPr>
          <w:t>https://www.fao.org/fileadmin/user_upload/</w:t>
        </w:r>
        <w:r w:rsidRPr="36871702">
          <w:rPr>
            <w:rStyle w:val="Hyperlink"/>
            <w:sz w:val="22"/>
          </w:rPr>
          <w:t>o</w:t>
        </w:r>
        <w:r w:rsidRPr="36871702">
          <w:rPr>
            <w:rStyle w:val="Hyperlink"/>
            <w:sz w:val="22"/>
          </w:rPr>
          <w:t>bsolete_pesticides/docs/retail_es.pdf</w:t>
        </w:r>
      </w:hyperlink>
      <w:r w:rsidRPr="36871702">
        <w:rPr>
          <w:sz w:val="22"/>
        </w:rPr>
        <w:t> </w:t>
      </w:r>
    </w:p>
    <w:p w14:paraId="5FB126F2" w14:textId="77777777" w:rsidR="009139BC" w:rsidRDefault="009139BC" w:rsidP="00AB3925">
      <w:pPr>
        <w:spacing w:before="120" w:after="160" w:line="259" w:lineRule="auto"/>
        <w:jc w:val="both"/>
        <w:rPr>
          <w:sz w:val="22"/>
          <w:lang w:val="en-GB"/>
        </w:rPr>
      </w:pPr>
    </w:p>
    <w:p w14:paraId="5073B252" w14:textId="77777777" w:rsidR="009139BC" w:rsidRDefault="009139BC" w:rsidP="00AB3925">
      <w:pPr>
        <w:spacing w:before="120" w:after="160" w:line="259" w:lineRule="auto"/>
        <w:jc w:val="both"/>
        <w:rPr>
          <w:sz w:val="22"/>
          <w:lang w:val="en-GB"/>
        </w:rPr>
      </w:pPr>
    </w:p>
    <w:p w14:paraId="54BFE9B1" w14:textId="6186EB5E" w:rsidR="00950A92" w:rsidRPr="00DA4D63" w:rsidRDefault="00950A92" w:rsidP="00AB3925">
      <w:pPr>
        <w:spacing w:before="120" w:after="160" w:line="259" w:lineRule="auto"/>
        <w:jc w:val="both"/>
        <w:rPr>
          <w:sz w:val="22"/>
          <w:lang w:val="en-GB"/>
        </w:rPr>
      </w:pPr>
    </w:p>
    <w:sectPr w:rsidR="00950A92" w:rsidRPr="00DA4D63" w:rsidSect="00F6756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endnotePr>
        <w:numFmt w:val="chicago"/>
      </w:endnotePr>
      <w:pgSz w:w="11906" w:h="16838" w:code="9"/>
      <w:pgMar w:top="851" w:right="1418" w:bottom="2552" w:left="85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6FBC5" w14:textId="77777777" w:rsidR="00BB4803" w:rsidRDefault="00BB4803" w:rsidP="0013691B">
      <w:pPr>
        <w:spacing w:after="0" w:line="240" w:lineRule="auto"/>
      </w:pPr>
      <w:r>
        <w:separator/>
      </w:r>
    </w:p>
  </w:endnote>
  <w:endnote w:type="continuationSeparator" w:id="0">
    <w:p w14:paraId="63B58EB6" w14:textId="77777777" w:rsidR="00BB4803" w:rsidRDefault="00BB4803" w:rsidP="0013691B">
      <w:pPr>
        <w:spacing w:after="0" w:line="240" w:lineRule="auto"/>
      </w:pPr>
      <w:r>
        <w:continuationSeparator/>
      </w:r>
    </w:p>
  </w:endnote>
  <w:endnote w:type="continuationNotice" w:id="1">
    <w:p w14:paraId="346216ED" w14:textId="77777777" w:rsidR="00BB4803" w:rsidRDefault="00BB48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7BD37" w14:textId="77777777" w:rsidR="00711BFA" w:rsidRDefault="00711B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1" w:rightFromText="181" w:vertAnchor="page" w:tblpY="15140"/>
      <w:tblOverlap w:val="never"/>
      <w:tblW w:w="102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2"/>
    </w:tblGrid>
    <w:tr w:rsidR="004C6793" w14:paraId="4CD33288" w14:textId="77777777" w:rsidTr="00F602C6">
      <w:trPr>
        <w:trHeight w:val="283"/>
      </w:trPr>
      <w:tc>
        <w:tcPr>
          <w:tcW w:w="10204" w:type="dxa"/>
          <w:gridSpan w:val="2"/>
          <w:tcBorders>
            <w:top w:val="single" w:sz="4" w:space="0" w:color="auto"/>
          </w:tcBorders>
          <w:vAlign w:val="bottom"/>
        </w:tcPr>
        <w:p w14:paraId="74506F85" w14:textId="77777777" w:rsidR="004C6793" w:rsidRPr="008F46F0" w:rsidRDefault="004C6793" w:rsidP="00F602C6">
          <w:pPr>
            <w:pStyle w:val="PageNo"/>
          </w:pPr>
          <w:bookmarkStart w:id="0" w:name="_Hlk73008952"/>
        </w:p>
      </w:tc>
    </w:tr>
    <w:tr w:rsidR="004C6793" w14:paraId="78C42C88" w14:textId="77777777" w:rsidTr="00F602C6">
      <w:sdt>
        <w:sdtPr>
          <w:alias w:val="Form.DocLang.Logo_horizontal"/>
          <w:tag w:val="{&quot;templafy&quot;:{&quot;id&quot;:&quot;10438360-6da7-4ef9-980f-6ab613249796&quot;}}"/>
          <w:id w:val="1796407923"/>
          <w:picture/>
        </w:sdtPr>
        <w:sdtEndPr/>
        <w:sdtContent>
          <w:tc>
            <w:tcPr>
              <w:tcW w:w="5102" w:type="dxa"/>
              <w:vAlign w:val="bottom"/>
            </w:tcPr>
            <w:p w14:paraId="5D4676ED" w14:textId="77777777" w:rsidR="004C6793" w:rsidRDefault="0028306D" w:rsidP="00F602C6">
              <w:pPr>
                <w:pStyle w:val="Footer"/>
              </w:pPr>
              <w:r>
                <w:rPr>
                  <w:noProof/>
                </w:rPr>
                <w:drawing>
                  <wp:inline distT="0" distB="0" distL="0" distR="0" wp14:anchorId="70DC2B6A" wp14:editId="497A745F">
                    <wp:extent cx="1620259" cy="152280"/>
                    <wp:effectExtent l="0" t="0" r="0" b="0"/>
                    <wp:docPr id="1939836790" name="Picture 4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939836790" name="Picture 4"/>
                            <pic:cNvPicPr/>
                          </pic:nvPicPr>
                          <pic:blipFill>
                            <a:blip r:embed="rId1"/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1620259" cy="15228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5102" w:type="dxa"/>
          <w:vAlign w:val="bottom"/>
        </w:tcPr>
        <w:p w14:paraId="734D5509" w14:textId="77777777" w:rsidR="004C6793" w:rsidRPr="008F46F0" w:rsidRDefault="008E37CF" w:rsidP="00F602C6">
          <w:pPr>
            <w:pStyle w:val="PageNo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</w:tc>
    </w:tr>
    <w:tr w:rsidR="00F602C6" w:rsidRPr="00955A75" w14:paraId="6532BB28" w14:textId="77777777" w:rsidTr="00F602C6">
      <w:trPr>
        <w:trHeight w:val="454"/>
      </w:trPr>
      <w:tc>
        <w:tcPr>
          <w:tcW w:w="10204" w:type="dxa"/>
          <w:gridSpan w:val="2"/>
          <w:vAlign w:val="bottom"/>
        </w:tcPr>
        <w:p w14:paraId="18ED5DC3" w14:textId="77777777" w:rsidR="00F602C6" w:rsidRPr="00955A75" w:rsidRDefault="00F602C6" w:rsidP="00F602C6">
          <w:pPr>
            <w:pStyle w:val="Footer"/>
            <w:rPr>
              <w:sz w:val="14"/>
              <w:szCs w:val="14"/>
            </w:rPr>
          </w:pPr>
        </w:p>
      </w:tc>
    </w:tr>
    <w:bookmarkEnd w:id="0"/>
  </w:tbl>
  <w:p w14:paraId="6642EC02" w14:textId="77777777" w:rsidR="002A7635" w:rsidRPr="001100A4" w:rsidRDefault="002A7635" w:rsidP="001100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1" w:rightFromText="181" w:vertAnchor="page" w:tblpY="15140"/>
      <w:tblOverlap w:val="never"/>
      <w:tblW w:w="102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2"/>
    </w:tblGrid>
    <w:tr w:rsidR="00026D48" w14:paraId="030076C1" w14:textId="77777777" w:rsidTr="00051B8F">
      <w:trPr>
        <w:trHeight w:val="283"/>
      </w:trPr>
      <w:tc>
        <w:tcPr>
          <w:tcW w:w="10204" w:type="dxa"/>
          <w:gridSpan w:val="2"/>
          <w:tcBorders>
            <w:top w:val="single" w:sz="4" w:space="0" w:color="auto"/>
          </w:tcBorders>
          <w:vAlign w:val="bottom"/>
        </w:tcPr>
        <w:p w14:paraId="70BC4DC5" w14:textId="77777777" w:rsidR="00026D48" w:rsidRPr="008F46F0" w:rsidRDefault="00026D48" w:rsidP="00026D48">
          <w:pPr>
            <w:pStyle w:val="PageNo"/>
          </w:pPr>
        </w:p>
      </w:tc>
    </w:tr>
    <w:tr w:rsidR="00026D48" w14:paraId="1FB32EC2" w14:textId="77777777" w:rsidTr="00051B8F">
      <w:sdt>
        <w:sdtPr>
          <w:alias w:val="Form.DocLang.Logo_horizontal"/>
          <w:tag w:val="{&quot;templafy&quot;:{&quot;id&quot;:&quot;f3ce6dc6-ffc2-4b8c-9510-1f30dbf6feb7&quot;}}"/>
          <w:id w:val="-739715887"/>
          <w:picture/>
        </w:sdtPr>
        <w:sdtEndPr/>
        <w:sdtContent>
          <w:tc>
            <w:tcPr>
              <w:tcW w:w="5102" w:type="dxa"/>
              <w:vAlign w:val="bottom"/>
            </w:tcPr>
            <w:p w14:paraId="43D88B14" w14:textId="77777777" w:rsidR="00026D48" w:rsidRDefault="0028306D" w:rsidP="00026D48">
              <w:pPr>
                <w:pStyle w:val="Footer"/>
              </w:pPr>
              <w:r>
                <w:rPr>
                  <w:noProof/>
                </w:rPr>
                <w:drawing>
                  <wp:inline distT="0" distB="0" distL="0" distR="0" wp14:anchorId="0F2099F5" wp14:editId="70BEFECD">
                    <wp:extent cx="1620259" cy="152280"/>
                    <wp:effectExtent l="0" t="0" r="0" b="0"/>
                    <wp:docPr id="489578189" name="Picture 3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89578189" name="Picture 3"/>
                            <pic:cNvPicPr/>
                          </pic:nvPicPr>
                          <pic:blipFill>
                            <a:blip r:embed="rId1"/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1620259" cy="15228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5102" w:type="dxa"/>
          <w:vAlign w:val="bottom"/>
        </w:tcPr>
        <w:p w14:paraId="655C4440" w14:textId="77777777" w:rsidR="00026D48" w:rsidRPr="008F46F0" w:rsidRDefault="00026D48" w:rsidP="00026D48">
          <w:pPr>
            <w:pStyle w:val="PageNo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</w:tc>
    </w:tr>
    <w:tr w:rsidR="00026D48" w:rsidRPr="00955A75" w14:paraId="2C8302D4" w14:textId="77777777" w:rsidTr="00051B8F">
      <w:trPr>
        <w:trHeight w:val="454"/>
      </w:trPr>
      <w:tc>
        <w:tcPr>
          <w:tcW w:w="10204" w:type="dxa"/>
          <w:gridSpan w:val="2"/>
          <w:vAlign w:val="bottom"/>
        </w:tcPr>
        <w:p w14:paraId="38158458" w14:textId="77777777" w:rsidR="00026D48" w:rsidRPr="00955A75" w:rsidRDefault="00026D48" w:rsidP="00026D48">
          <w:pPr>
            <w:pStyle w:val="Footer"/>
            <w:rPr>
              <w:sz w:val="14"/>
              <w:szCs w:val="14"/>
            </w:rPr>
          </w:pPr>
        </w:p>
      </w:tc>
    </w:tr>
  </w:tbl>
  <w:p w14:paraId="39105735" w14:textId="77777777" w:rsidR="00026D48" w:rsidRDefault="00026D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3D0FE" w14:textId="77777777" w:rsidR="00BB4803" w:rsidRDefault="00BB4803" w:rsidP="0013691B">
      <w:pPr>
        <w:spacing w:after="0" w:line="240" w:lineRule="auto"/>
      </w:pPr>
      <w:r>
        <w:separator/>
      </w:r>
    </w:p>
  </w:footnote>
  <w:footnote w:type="continuationSeparator" w:id="0">
    <w:p w14:paraId="0E00DDB1" w14:textId="77777777" w:rsidR="00BB4803" w:rsidRDefault="00BB4803" w:rsidP="0013691B">
      <w:pPr>
        <w:spacing w:after="0" w:line="240" w:lineRule="auto"/>
      </w:pPr>
      <w:r>
        <w:continuationSeparator/>
      </w:r>
    </w:p>
  </w:footnote>
  <w:footnote w:type="continuationNotice" w:id="1">
    <w:p w14:paraId="4DA03605" w14:textId="77777777" w:rsidR="00BB4803" w:rsidRDefault="00BB4803">
      <w:pPr>
        <w:spacing w:after="0" w:line="240" w:lineRule="auto"/>
      </w:pPr>
    </w:p>
  </w:footnote>
  <w:footnote w:id="2">
    <w:p w14:paraId="11D48F18" w14:textId="3B05B035" w:rsidR="00046045" w:rsidRPr="00046045" w:rsidRDefault="00046045">
      <w:pPr>
        <w:pStyle w:val="FootnoteText"/>
      </w:pPr>
      <w:r>
        <w:rPr>
          <w:rStyle w:val="FootnoteReference"/>
        </w:rPr>
        <w:footnoteRef/>
      </w:r>
      <w:r w:rsidR="66D89B9E">
        <w:t xml:space="preserve"> This document uses the term Good Storage and Distribution Practices (GSDP) to refer to the principles and requirements covering </w:t>
      </w:r>
      <w:r w:rsidR="66D89B9E" w:rsidRPr="66D89B9E">
        <w:rPr>
          <w:b/>
          <w:bCs/>
        </w:rPr>
        <w:t>transportation</w:t>
      </w:r>
      <w:r w:rsidR="66D89B9E">
        <w:t xml:space="preserve">, </w:t>
      </w:r>
      <w:r w:rsidR="66D89B9E" w:rsidRPr="66D89B9E">
        <w:rPr>
          <w:b/>
          <w:bCs/>
        </w:rPr>
        <w:t>storage</w:t>
      </w:r>
      <w:r w:rsidR="66D89B9E">
        <w:t xml:space="preserve">, and </w:t>
      </w:r>
      <w:r w:rsidR="66D89B9E" w:rsidRPr="66D89B9E">
        <w:rPr>
          <w:b/>
          <w:bCs/>
        </w:rPr>
        <w:t>distribution</w:t>
      </w:r>
      <w:r w:rsidR="66D89B9E">
        <w:t xml:space="preserve"> practices of health products, in alignment with the Quality Assurance Policies.</w:t>
      </w:r>
    </w:p>
  </w:footnote>
  <w:footnote w:id="3">
    <w:p w14:paraId="26D967B8" w14:textId="27812400" w:rsidR="00775797" w:rsidRPr="00E33667" w:rsidRDefault="00775797">
      <w:pPr>
        <w:pStyle w:val="FootnoteText"/>
      </w:pPr>
      <w:r>
        <w:rPr>
          <w:rStyle w:val="FootnoteReference"/>
        </w:rPr>
        <w:footnoteRef/>
      </w:r>
      <w:r w:rsidR="00E33667">
        <w:t xml:space="preserve"> </w:t>
      </w:r>
      <w:proofErr w:type="gramStart"/>
      <w:r w:rsidR="0058094E" w:rsidRPr="0058094E">
        <w:t>For the purpose of</w:t>
      </w:r>
      <w:proofErr w:type="gramEnd"/>
      <w:r w:rsidR="0058094E" w:rsidRPr="0058094E">
        <w:t xml:space="preserve"> this document, the term 'quality' refers to quality, safety, and either efficacy or performance.</w:t>
      </w:r>
    </w:p>
  </w:footnote>
  <w:footnote w:id="4">
    <w:p w14:paraId="51298B54" w14:textId="010D8576" w:rsidR="00AB3925" w:rsidRPr="00FC0219" w:rsidRDefault="00FC021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AB3925" w:rsidRPr="00BD5122">
          <w:rPr>
            <w:rStyle w:val="Hyperlink"/>
          </w:rPr>
          <w:t>https://www.theglobalfund.org/en/sourcing-man</w:t>
        </w:r>
        <w:r w:rsidR="00AB3925" w:rsidRPr="00BD5122">
          <w:rPr>
            <w:rStyle w:val="Hyperlink"/>
          </w:rPr>
          <w:t>a</w:t>
        </w:r>
        <w:r w:rsidR="00AB3925" w:rsidRPr="00BD5122">
          <w:rPr>
            <w:rStyle w:val="Hyperlink"/>
          </w:rPr>
          <w:t>gement/qual</w:t>
        </w:r>
        <w:r w:rsidR="00AB3925" w:rsidRPr="00BD5122">
          <w:rPr>
            <w:rStyle w:val="Hyperlink"/>
          </w:rPr>
          <w:t>i</w:t>
        </w:r>
        <w:r w:rsidR="00AB3925" w:rsidRPr="00BD5122">
          <w:rPr>
            <w:rStyle w:val="Hyperlink"/>
          </w:rPr>
          <w:t>ty-assurance/</w:t>
        </w:r>
      </w:hyperlink>
    </w:p>
  </w:footnote>
  <w:footnote w:id="5">
    <w:p w14:paraId="1442E25E" w14:textId="7EC5AFAB" w:rsidR="00AB3925" w:rsidRPr="00A5788B" w:rsidRDefault="00A5788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="00AB3925" w:rsidRPr="00BD5122">
          <w:rPr>
            <w:rStyle w:val="Hyperlink"/>
          </w:rPr>
          <w:t>https://www.theglobalfund.org/media/5873/psm_pro</w:t>
        </w:r>
        <w:r w:rsidR="00AB3925" w:rsidRPr="00BD5122">
          <w:rPr>
            <w:rStyle w:val="Hyperlink"/>
          </w:rPr>
          <w:t>c</w:t>
        </w:r>
        <w:r w:rsidR="00AB3925" w:rsidRPr="00BD5122">
          <w:rPr>
            <w:rStyle w:val="Hyperlink"/>
          </w:rPr>
          <w:t>urementsupplymanagement_guidelines_en.pdf</w:t>
        </w:r>
      </w:hyperlink>
    </w:p>
  </w:footnote>
  <w:footnote w:id="6">
    <w:p w14:paraId="1085197F" w14:textId="00F13A7B" w:rsidR="00AB3925" w:rsidRPr="00BD6ED3" w:rsidRDefault="00BD6ED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67DCD">
        <w:t xml:space="preserve">See GF QA webpage for </w:t>
      </w:r>
      <w:r>
        <w:t>related guidance documents</w:t>
      </w:r>
      <w:r w:rsidR="0003332C">
        <w:t xml:space="preserve">: </w:t>
      </w:r>
      <w:hyperlink r:id="rId3" w:history="1">
        <w:r w:rsidR="00AB3925" w:rsidRPr="00BD5122">
          <w:rPr>
            <w:rStyle w:val="Hyperlink"/>
          </w:rPr>
          <w:t>https://www.thegl</w:t>
        </w:r>
        <w:r w:rsidR="00AB3925" w:rsidRPr="00BD5122">
          <w:rPr>
            <w:rStyle w:val="Hyperlink"/>
          </w:rPr>
          <w:t>o</w:t>
        </w:r>
        <w:r w:rsidR="00AB3925" w:rsidRPr="00BD5122">
          <w:rPr>
            <w:rStyle w:val="Hyperlink"/>
          </w:rPr>
          <w:t>balfund.org/en/sourcing-management/quality-assurance/</w:t>
        </w:r>
      </w:hyperlink>
    </w:p>
  </w:footnote>
  <w:footnote w:id="7">
    <w:p w14:paraId="790162B0" w14:textId="6CDB840F" w:rsidR="0014030C" w:rsidRPr="0014030C" w:rsidRDefault="0014030C">
      <w:pPr>
        <w:pStyle w:val="FootnoteText"/>
      </w:pPr>
      <w:r>
        <w:rPr>
          <w:rStyle w:val="FootnoteReference"/>
        </w:rPr>
        <w:footnoteRef/>
      </w:r>
      <w:r w:rsidR="516088E6">
        <w:t xml:space="preserve"> </w:t>
      </w:r>
      <w:r w:rsidR="516088E6" w:rsidRPr="516088E6">
        <w:rPr>
          <w:b/>
          <w:bCs/>
        </w:rPr>
        <w:t>Sampling plan:</w:t>
      </w:r>
      <w:r>
        <w:br/>
      </w:r>
      <w:r w:rsidR="516088E6" w:rsidRPr="516088E6">
        <w:rPr>
          <w:i/>
          <w:iCs/>
        </w:rPr>
        <w:t xml:space="preserve">A documented plan that specifies the items, records, or facilities to be reviewed or inspected, including the number and frequency of selection, to ensure appropriate coverage during a review or an inspection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3D6C8" w14:textId="77777777" w:rsidR="00711BFA" w:rsidRDefault="00711B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5F0D9" w14:textId="77777777" w:rsidR="00711BFA" w:rsidRDefault="00711B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852" w:tblpY="852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885674" w14:paraId="154F8B9C" w14:textId="77777777" w:rsidTr="00051B8F">
      <w:trPr>
        <w:trHeight w:val="454"/>
      </w:trPr>
      <w:sdt>
        <w:sdtPr>
          <w:alias w:val="Form.DocLang.Logo_stacked_colour"/>
          <w:tag w:val="{&quot;templafy&quot;:{&quot;id&quot;:&quot;14f3f337-fbd7-438e-9d59-0805618bac62&quot;}}"/>
          <w:id w:val="471336006"/>
          <w:lock w:val="contentLocked"/>
          <w:picture/>
        </w:sdtPr>
        <w:sdtEndPr/>
        <w:sdtContent>
          <w:tc>
            <w:tcPr>
              <w:tcW w:w="2268" w:type="dxa"/>
              <w:tcBorders>
                <w:top w:val="nil"/>
                <w:left w:val="nil"/>
                <w:bottom w:val="nil"/>
                <w:right w:val="nil"/>
              </w:tcBorders>
            </w:tcPr>
            <w:p w14:paraId="2CD57E00" w14:textId="77777777" w:rsidR="00885674" w:rsidRDefault="00885674" w:rsidP="00885674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 wp14:anchorId="79CF4BE1" wp14:editId="209F021B">
                    <wp:extent cx="1437770" cy="493200"/>
                    <wp:effectExtent l="0" t="0" r="0" b="0"/>
                    <wp:docPr id="1335329389" name="Picture 1" descr="Shape&#10;&#10;Description automatically generated with low confidence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335329389" name="Picture 1"/>
                            <pic:cNvPicPr/>
                          </pic:nvPicPr>
                          <pic:blipFill>
                            <a:blip r:embed="rId1"/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1437770" cy="4932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14:paraId="27ABAFB2" w14:textId="77777777" w:rsidR="00026D48" w:rsidRDefault="00026D48">
    <w:pPr>
      <w:pStyle w:val="Header"/>
    </w:pPr>
  </w:p>
  <w:p w14:paraId="00801935" w14:textId="77777777" w:rsidR="00885674" w:rsidRDefault="00885674">
    <w:pPr>
      <w:pStyle w:val="Header"/>
    </w:pPr>
  </w:p>
  <w:p w14:paraId="4D53BC0D" w14:textId="77777777" w:rsidR="00885674" w:rsidRDefault="008856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6EC95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2013A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04CC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7E0AE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3270C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56C0E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8AC2B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08824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C72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BC33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62371"/>
    <w:multiLevelType w:val="hybridMultilevel"/>
    <w:tmpl w:val="BB263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951BB2"/>
    <w:multiLevelType w:val="multilevel"/>
    <w:tmpl w:val="58B80866"/>
    <w:styleLink w:val="NumbLstBullet"/>
    <w:lvl w:ilvl="0">
      <w:start w:val="1"/>
      <w:numFmt w:val="bullet"/>
      <w:pStyle w:val="Bullet1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pStyle w:val="Bullet2"/>
      <w:lvlText w:val=""/>
      <w:lvlJc w:val="left"/>
      <w:pPr>
        <w:tabs>
          <w:tab w:val="num" w:pos="851"/>
        </w:tabs>
        <w:ind w:left="794" w:hanging="397"/>
      </w:pPr>
      <w:rPr>
        <w:rFonts w:ascii="Wingdings" w:hAnsi="Wingdings" w:hint="default"/>
        <w:color w:val="auto"/>
      </w:rPr>
    </w:lvl>
    <w:lvl w:ilvl="2">
      <w:start w:val="1"/>
      <w:numFmt w:val="bullet"/>
      <w:pStyle w:val="Bullet3"/>
      <w:lvlText w:val=""/>
      <w:lvlJc w:val="left"/>
      <w:pPr>
        <w:tabs>
          <w:tab w:val="num" w:pos="1418"/>
        </w:tabs>
        <w:ind w:left="1191" w:hanging="397"/>
      </w:pPr>
      <w:rPr>
        <w:rFonts w:ascii="Wingdings" w:hAnsi="Wingdings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36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2" w15:restartNumberingAfterBreak="0">
    <w:nsid w:val="054307EE"/>
    <w:multiLevelType w:val="multilevel"/>
    <w:tmpl w:val="AFF4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694576"/>
    <w:multiLevelType w:val="multilevel"/>
    <w:tmpl w:val="FB429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90775DD"/>
    <w:multiLevelType w:val="hybridMultilevel"/>
    <w:tmpl w:val="CB7CC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EA0CA3"/>
    <w:multiLevelType w:val="multilevel"/>
    <w:tmpl w:val="18F86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DD31250"/>
    <w:multiLevelType w:val="multilevel"/>
    <w:tmpl w:val="5514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EC2597F"/>
    <w:multiLevelType w:val="hybridMultilevel"/>
    <w:tmpl w:val="5A20F5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BE7B14"/>
    <w:multiLevelType w:val="hybridMultilevel"/>
    <w:tmpl w:val="E8BAC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CE6011"/>
    <w:multiLevelType w:val="multilevel"/>
    <w:tmpl w:val="20C8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98F37B8"/>
    <w:multiLevelType w:val="multilevel"/>
    <w:tmpl w:val="BFC69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FCF0E17"/>
    <w:multiLevelType w:val="multilevel"/>
    <w:tmpl w:val="AA8AE168"/>
    <w:styleLink w:val="NumLst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13B7AAA"/>
    <w:multiLevelType w:val="multilevel"/>
    <w:tmpl w:val="3C060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1CE0FF1"/>
    <w:multiLevelType w:val="multilevel"/>
    <w:tmpl w:val="75EA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25838B2"/>
    <w:multiLevelType w:val="hybridMultilevel"/>
    <w:tmpl w:val="7ED06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A24576"/>
    <w:multiLevelType w:val="hybridMultilevel"/>
    <w:tmpl w:val="0D2C9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3C5A3D"/>
    <w:multiLevelType w:val="multilevel"/>
    <w:tmpl w:val="7ACA3972"/>
    <w:styleLink w:val="NumHeadingsL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27" w15:restartNumberingAfterBreak="0">
    <w:nsid w:val="2F0A3BFB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217669F"/>
    <w:multiLevelType w:val="hybridMultilevel"/>
    <w:tmpl w:val="60122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511433"/>
    <w:multiLevelType w:val="multilevel"/>
    <w:tmpl w:val="1C58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6A1690"/>
    <w:multiLevelType w:val="hybridMultilevel"/>
    <w:tmpl w:val="782C9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D1639A"/>
    <w:multiLevelType w:val="hybridMultilevel"/>
    <w:tmpl w:val="8B4E9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FF131A"/>
    <w:multiLevelType w:val="multilevel"/>
    <w:tmpl w:val="17A0D06E"/>
    <w:styleLink w:val="NumbListAlpha"/>
    <w:lvl w:ilvl="0">
      <w:start w:val="1"/>
      <w:numFmt w:val="lowerLetter"/>
      <w:pStyle w:val="AlphaList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AlphaList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794" w:hanging="397"/>
      </w:pPr>
      <w:rPr>
        <w:rFonts w:hint="default"/>
      </w:rPr>
    </w:lvl>
  </w:abstractNum>
  <w:abstractNum w:abstractNumId="33" w15:restartNumberingAfterBreak="0">
    <w:nsid w:val="4E042BA4"/>
    <w:multiLevelType w:val="multilevel"/>
    <w:tmpl w:val="C230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85677B"/>
    <w:multiLevelType w:val="multilevel"/>
    <w:tmpl w:val="2AB4BD4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5C784E"/>
    <w:multiLevelType w:val="multilevel"/>
    <w:tmpl w:val="37A4F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3D307C"/>
    <w:multiLevelType w:val="multilevel"/>
    <w:tmpl w:val="DD92E430"/>
    <w:styleLink w:val="TableBullet"/>
    <w:lvl w:ilvl="0">
      <w:start w:val="1"/>
      <w:numFmt w:val="bullet"/>
      <w:pStyle w:val="TableBullet1"/>
      <w:lvlText w:val="•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color w:val="000000" w:themeColor="text1"/>
        <w:sz w:val="22"/>
      </w:rPr>
    </w:lvl>
    <w:lvl w:ilvl="1">
      <w:start w:val="1"/>
      <w:numFmt w:val="bullet"/>
      <w:pStyle w:val="TableBullet2"/>
      <w:lvlText w:val="•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000000" w:themeColor="tex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59892B95"/>
    <w:multiLevelType w:val="multilevel"/>
    <w:tmpl w:val="9912BFFA"/>
    <w:styleLink w:val="ArticleSection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38" w15:restartNumberingAfterBreak="0">
    <w:nsid w:val="5A0238EF"/>
    <w:multiLevelType w:val="multilevel"/>
    <w:tmpl w:val="CB865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D8629BB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022432C"/>
    <w:multiLevelType w:val="hybridMultilevel"/>
    <w:tmpl w:val="5DD64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9B6C21"/>
    <w:multiLevelType w:val="multilevel"/>
    <w:tmpl w:val="1604D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314F32"/>
    <w:multiLevelType w:val="hybridMultilevel"/>
    <w:tmpl w:val="08D66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3B3B06"/>
    <w:multiLevelType w:val="multilevel"/>
    <w:tmpl w:val="F1A879AC"/>
    <w:styleLink w:val="TableNumbList"/>
    <w:lvl w:ilvl="0">
      <w:start w:val="1"/>
      <w:numFmt w:val="decimal"/>
      <w:pStyle w:val="TableNumbList1"/>
      <w:lvlText w:val="%1.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1"/>
      <w:numFmt w:val="decimal"/>
      <w:pStyle w:val="TableNumbList2"/>
      <w:lvlText w:val="%1.%2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6E1A3781"/>
    <w:multiLevelType w:val="hybridMultilevel"/>
    <w:tmpl w:val="0FCC8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100DAC"/>
    <w:multiLevelType w:val="hybridMultilevel"/>
    <w:tmpl w:val="6DE8B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B437E6"/>
    <w:multiLevelType w:val="multilevel"/>
    <w:tmpl w:val="4928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4407FD3"/>
    <w:multiLevelType w:val="hybridMultilevel"/>
    <w:tmpl w:val="21E4A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6F7DA8"/>
    <w:multiLevelType w:val="multilevel"/>
    <w:tmpl w:val="D870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D1C7FEE"/>
    <w:multiLevelType w:val="hybridMultilevel"/>
    <w:tmpl w:val="67CA1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C24DFA"/>
    <w:multiLevelType w:val="hybridMultilevel"/>
    <w:tmpl w:val="85B2A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013112"/>
    <w:multiLevelType w:val="multilevel"/>
    <w:tmpl w:val="81FC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032328">
    <w:abstractNumId w:val="26"/>
  </w:num>
  <w:num w:numId="2" w16cid:durableId="2021660101">
    <w:abstractNumId w:val="27"/>
  </w:num>
  <w:num w:numId="3" w16cid:durableId="329333817">
    <w:abstractNumId w:val="39"/>
  </w:num>
  <w:num w:numId="4" w16cid:durableId="412355547">
    <w:abstractNumId w:val="36"/>
  </w:num>
  <w:num w:numId="5" w16cid:durableId="1903177967">
    <w:abstractNumId w:val="43"/>
  </w:num>
  <w:num w:numId="6" w16cid:durableId="24530055">
    <w:abstractNumId w:val="37"/>
    <w:lvlOverride w:ilvl="0">
      <w:lvl w:ilvl="0">
        <w:start w:val="1"/>
        <w:numFmt w:val="decimal"/>
        <w:pStyle w:val="Heading1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lowerLetter"/>
        <w:pStyle w:val="Heading3"/>
        <w:lvlText w:val="(%3)"/>
        <w:lvlJc w:val="left"/>
        <w:pPr>
          <w:ind w:left="720" w:hanging="432"/>
        </w:pPr>
        <w:rPr>
          <w:rFonts w:hint="default"/>
        </w:rPr>
      </w:lvl>
    </w:lvlOverride>
    <w:lvlOverride w:ilvl="3">
      <w:lvl w:ilvl="3">
        <w:start w:val="1"/>
        <w:numFmt w:val="lowerRoman"/>
        <w:lvlText w:val="(%4)"/>
        <w:lvlJc w:val="right"/>
        <w:pPr>
          <w:ind w:left="864" w:hanging="14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5)"/>
        <w:lvlJc w:val="left"/>
        <w:pPr>
          <w:ind w:left="1008" w:hanging="432"/>
        </w:pPr>
        <w:rPr>
          <w:rFonts w:hint="default"/>
        </w:rPr>
      </w:lvl>
    </w:lvlOverride>
    <w:lvlOverride w:ilvl="5">
      <w:lvl w:ilvl="5">
        <w:start w:val="1"/>
        <w:numFmt w:val="lowerLetter"/>
        <w:pStyle w:val="Heading6"/>
        <w:lvlText w:val="%6)"/>
        <w:lvlJc w:val="left"/>
        <w:pPr>
          <w:ind w:left="1152" w:hanging="432"/>
        </w:pPr>
        <w:rPr>
          <w:rFonts w:hint="default"/>
        </w:rPr>
      </w:lvl>
    </w:lvlOverride>
    <w:lvlOverride w:ilvl="6">
      <w:lvl w:ilvl="6">
        <w:start w:val="1"/>
        <w:numFmt w:val="lowerRoman"/>
        <w:pStyle w:val="Heading7"/>
        <w:lvlText w:val="%7)"/>
        <w:lvlJc w:val="right"/>
        <w:pPr>
          <w:ind w:left="1296" w:hanging="288"/>
        </w:pPr>
        <w:rPr>
          <w:rFonts w:hint="default"/>
        </w:rPr>
      </w:lvl>
    </w:lvlOverride>
    <w:lvlOverride w:ilvl="7">
      <w:lvl w:ilvl="7">
        <w:start w:val="1"/>
        <w:numFmt w:val="lowerLetter"/>
        <w:pStyle w:val="Heading8"/>
        <w:lvlText w:val="%8."/>
        <w:lvlJc w:val="left"/>
        <w:pPr>
          <w:ind w:left="1440" w:hanging="432"/>
        </w:pPr>
        <w:rPr>
          <w:rFonts w:hint="default"/>
        </w:rPr>
      </w:lvl>
    </w:lvlOverride>
    <w:lvlOverride w:ilvl="8">
      <w:lvl w:ilvl="8">
        <w:start w:val="1"/>
        <w:numFmt w:val="lowerRoman"/>
        <w:pStyle w:val="Heading9"/>
        <w:lvlText w:val="%9."/>
        <w:lvlJc w:val="right"/>
        <w:pPr>
          <w:ind w:left="1584" w:hanging="144"/>
        </w:pPr>
        <w:rPr>
          <w:rFonts w:hint="default"/>
        </w:rPr>
      </w:lvl>
    </w:lvlOverride>
  </w:num>
  <w:num w:numId="7" w16cid:durableId="1133409138">
    <w:abstractNumId w:val="9"/>
  </w:num>
  <w:num w:numId="8" w16cid:durableId="1851330704">
    <w:abstractNumId w:val="7"/>
  </w:num>
  <w:num w:numId="9" w16cid:durableId="1786078742">
    <w:abstractNumId w:val="6"/>
  </w:num>
  <w:num w:numId="10" w16cid:durableId="1474327573">
    <w:abstractNumId w:val="5"/>
  </w:num>
  <w:num w:numId="11" w16cid:durableId="812671743">
    <w:abstractNumId w:val="4"/>
  </w:num>
  <w:num w:numId="12" w16cid:durableId="1947805938">
    <w:abstractNumId w:val="8"/>
  </w:num>
  <w:num w:numId="13" w16cid:durableId="252133364">
    <w:abstractNumId w:val="3"/>
  </w:num>
  <w:num w:numId="14" w16cid:durableId="1374310301">
    <w:abstractNumId w:val="2"/>
  </w:num>
  <w:num w:numId="15" w16cid:durableId="225335093">
    <w:abstractNumId w:val="1"/>
  </w:num>
  <w:num w:numId="16" w16cid:durableId="780994248">
    <w:abstractNumId w:val="0"/>
  </w:num>
  <w:num w:numId="17" w16cid:durableId="1654792734">
    <w:abstractNumId w:val="32"/>
  </w:num>
  <w:num w:numId="18" w16cid:durableId="892885512">
    <w:abstractNumId w:val="11"/>
  </w:num>
  <w:num w:numId="19" w16cid:durableId="757992615">
    <w:abstractNumId w:val="21"/>
  </w:num>
  <w:num w:numId="20" w16cid:durableId="1592860970">
    <w:abstractNumId w:val="17"/>
  </w:num>
  <w:num w:numId="21" w16cid:durableId="1916234472">
    <w:abstractNumId w:val="14"/>
  </w:num>
  <w:num w:numId="22" w16cid:durableId="1637831295">
    <w:abstractNumId w:val="51"/>
  </w:num>
  <w:num w:numId="23" w16cid:durableId="1561205716">
    <w:abstractNumId w:val="19"/>
  </w:num>
  <w:num w:numId="24" w16cid:durableId="1240945221">
    <w:abstractNumId w:val="34"/>
  </w:num>
  <w:num w:numId="25" w16cid:durableId="991644813">
    <w:abstractNumId w:val="41"/>
  </w:num>
  <w:num w:numId="26" w16cid:durableId="734594545">
    <w:abstractNumId w:val="15"/>
  </w:num>
  <w:num w:numId="27" w16cid:durableId="904994562">
    <w:abstractNumId w:val="22"/>
  </w:num>
  <w:num w:numId="28" w16cid:durableId="1171141168">
    <w:abstractNumId w:val="35"/>
  </w:num>
  <w:num w:numId="29" w16cid:durableId="1742828545">
    <w:abstractNumId w:val="16"/>
  </w:num>
  <w:num w:numId="30" w16cid:durableId="449714288">
    <w:abstractNumId w:val="48"/>
  </w:num>
  <w:num w:numId="31" w16cid:durableId="332488862">
    <w:abstractNumId w:val="12"/>
  </w:num>
  <w:num w:numId="32" w16cid:durableId="1344238925">
    <w:abstractNumId w:val="20"/>
  </w:num>
  <w:num w:numId="33" w16cid:durableId="1030380786">
    <w:abstractNumId w:val="33"/>
  </w:num>
  <w:num w:numId="34" w16cid:durableId="1225336393">
    <w:abstractNumId w:val="38"/>
  </w:num>
  <w:num w:numId="35" w16cid:durableId="782923311">
    <w:abstractNumId w:val="46"/>
  </w:num>
  <w:num w:numId="36" w16cid:durableId="733966270">
    <w:abstractNumId w:val="24"/>
  </w:num>
  <w:num w:numId="37" w16cid:durableId="1322657052">
    <w:abstractNumId w:val="42"/>
  </w:num>
  <w:num w:numId="38" w16cid:durableId="188565490">
    <w:abstractNumId w:val="40"/>
  </w:num>
  <w:num w:numId="39" w16cid:durableId="1511527706">
    <w:abstractNumId w:val="28"/>
  </w:num>
  <w:num w:numId="40" w16cid:durableId="2109035381">
    <w:abstractNumId w:val="49"/>
  </w:num>
  <w:num w:numId="41" w16cid:durableId="1520119548">
    <w:abstractNumId w:val="25"/>
  </w:num>
  <w:num w:numId="42" w16cid:durableId="1442916664">
    <w:abstractNumId w:val="10"/>
  </w:num>
  <w:num w:numId="43" w16cid:durableId="1139037660">
    <w:abstractNumId w:val="18"/>
  </w:num>
  <w:num w:numId="44" w16cid:durableId="1075011903">
    <w:abstractNumId w:val="50"/>
  </w:num>
  <w:num w:numId="45" w16cid:durableId="367534873">
    <w:abstractNumId w:val="30"/>
  </w:num>
  <w:num w:numId="46" w16cid:durableId="1420059687">
    <w:abstractNumId w:val="44"/>
  </w:num>
  <w:num w:numId="47" w16cid:durableId="258567644">
    <w:abstractNumId w:val="45"/>
  </w:num>
  <w:num w:numId="48" w16cid:durableId="355273112">
    <w:abstractNumId w:val="31"/>
  </w:num>
  <w:num w:numId="49" w16cid:durableId="1367170477">
    <w:abstractNumId w:val="47"/>
  </w:num>
  <w:num w:numId="50" w16cid:durableId="757673526">
    <w:abstractNumId w:val="29"/>
  </w:num>
  <w:num w:numId="51" w16cid:durableId="1662153445">
    <w:abstractNumId w:val="13"/>
  </w:num>
  <w:num w:numId="52" w16cid:durableId="1025253288">
    <w:abstractNumId w:val="23"/>
  </w:num>
  <w:num w:numId="53" w16cid:durableId="65418898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23235455">
    <w:abstractNumId w:val="37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ind w:left="720" w:hanging="432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lvlText w:val="(%4)"/>
        <w:lvlJc w:val="right"/>
        <w:pPr>
          <w:ind w:left="864" w:hanging="144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pStyle w:val="Heading5"/>
        <w:lvlText w:val="%5)"/>
        <w:lvlJc w:val="left"/>
        <w:pPr>
          <w:ind w:left="1008" w:hanging="432"/>
        </w:pPr>
        <w:rPr>
          <w:rFonts w:hint="default"/>
        </w:rPr>
      </w:lvl>
    </w:lvlOverride>
    <w:lvlOverride w:ilvl="5">
      <w:startOverride w:val="1"/>
      <w:lvl w:ilvl="5">
        <w:start w:val="1"/>
        <w:numFmt w:val="lowerLetter"/>
        <w:pStyle w:val="Heading6"/>
        <w:lvlText w:val="%6)"/>
        <w:lvlJc w:val="left"/>
        <w:pPr>
          <w:ind w:left="1152" w:hanging="432"/>
        </w:pPr>
        <w:rPr>
          <w:rFonts w:hint="default"/>
        </w:rPr>
      </w:lvl>
    </w:lvlOverride>
    <w:lvlOverride w:ilvl="6">
      <w:startOverride w:val="1"/>
      <w:lvl w:ilvl="6">
        <w:start w:val="1"/>
        <w:numFmt w:val="lowerRoman"/>
        <w:pStyle w:val="Heading7"/>
        <w:lvlText w:val="%7)"/>
        <w:lvlJc w:val="right"/>
        <w:pPr>
          <w:ind w:left="1296" w:hanging="288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pStyle w:val="Heading8"/>
        <w:lvlText w:val="%8."/>
        <w:lvlJc w:val="left"/>
        <w:pPr>
          <w:ind w:left="1440" w:hanging="432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pStyle w:val="Heading9"/>
        <w:lvlText w:val="%9."/>
        <w:lvlJc w:val="right"/>
        <w:pPr>
          <w:ind w:left="1584" w:hanging="144"/>
        </w:pPr>
        <w:rPr>
          <w:rFonts w:hint="default"/>
        </w:rPr>
      </w:lvl>
    </w:lvlOverride>
  </w:num>
  <w:num w:numId="55" w16cid:durableId="1509325987">
    <w:abstractNumId w:val="37"/>
  </w:num>
  <w:num w:numId="56" w16cid:durableId="1432162318">
    <w:abstractNumId w:val="37"/>
    <w:lvlOverride w:ilvl="0">
      <w:lvl w:ilvl="0">
        <w:start w:val="1"/>
        <w:numFmt w:val="decimal"/>
        <w:pStyle w:val="Heading1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lowerLetter"/>
        <w:pStyle w:val="Heading3"/>
        <w:lvlText w:val="(%3)"/>
        <w:lvlJc w:val="left"/>
        <w:pPr>
          <w:ind w:left="720" w:hanging="432"/>
        </w:pPr>
        <w:rPr>
          <w:rFonts w:hint="default"/>
        </w:rPr>
      </w:lvl>
    </w:lvlOverride>
    <w:lvlOverride w:ilvl="3">
      <w:lvl w:ilvl="3">
        <w:start w:val="1"/>
        <w:numFmt w:val="lowerRoman"/>
        <w:lvlText w:val="(%4)"/>
        <w:lvlJc w:val="right"/>
        <w:pPr>
          <w:ind w:left="864" w:hanging="14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5)"/>
        <w:lvlJc w:val="left"/>
        <w:pPr>
          <w:ind w:left="1008" w:hanging="432"/>
        </w:pPr>
        <w:rPr>
          <w:rFonts w:hint="default"/>
        </w:rPr>
      </w:lvl>
    </w:lvlOverride>
    <w:lvlOverride w:ilvl="5">
      <w:lvl w:ilvl="5">
        <w:start w:val="1"/>
        <w:numFmt w:val="lowerLetter"/>
        <w:pStyle w:val="Heading6"/>
        <w:lvlText w:val="%6)"/>
        <w:lvlJc w:val="left"/>
        <w:pPr>
          <w:ind w:left="1152" w:hanging="432"/>
        </w:pPr>
        <w:rPr>
          <w:rFonts w:hint="default"/>
        </w:rPr>
      </w:lvl>
    </w:lvlOverride>
    <w:lvlOverride w:ilvl="6">
      <w:lvl w:ilvl="6">
        <w:start w:val="1"/>
        <w:numFmt w:val="lowerRoman"/>
        <w:pStyle w:val="Heading7"/>
        <w:lvlText w:val="%7)"/>
        <w:lvlJc w:val="right"/>
        <w:pPr>
          <w:ind w:left="1296" w:hanging="288"/>
        </w:pPr>
        <w:rPr>
          <w:rFonts w:hint="default"/>
        </w:rPr>
      </w:lvl>
    </w:lvlOverride>
    <w:lvlOverride w:ilvl="7">
      <w:lvl w:ilvl="7">
        <w:start w:val="1"/>
        <w:numFmt w:val="lowerLetter"/>
        <w:pStyle w:val="Heading8"/>
        <w:lvlText w:val="%8."/>
        <w:lvlJc w:val="left"/>
        <w:pPr>
          <w:ind w:left="1440" w:hanging="432"/>
        </w:pPr>
        <w:rPr>
          <w:rFonts w:hint="default"/>
        </w:rPr>
      </w:lvl>
    </w:lvlOverride>
    <w:lvlOverride w:ilvl="8">
      <w:lvl w:ilvl="8">
        <w:start w:val="1"/>
        <w:numFmt w:val="lowerRoman"/>
        <w:pStyle w:val="Heading9"/>
        <w:lvlText w:val="%9."/>
        <w:lvlJc w:val="right"/>
        <w:pPr>
          <w:ind w:left="1584" w:hanging="144"/>
        </w:pPr>
        <w:rPr>
          <w:rFonts w:hint="default"/>
        </w:rPr>
      </w:lvl>
    </w:lvlOverride>
  </w:num>
  <w:num w:numId="57" w16cid:durableId="1845393847">
    <w:abstractNumId w:val="37"/>
    <w:lvlOverride w:ilvl="0">
      <w:lvl w:ilvl="0">
        <w:start w:val="1"/>
        <w:numFmt w:val="decimal"/>
        <w:pStyle w:val="Heading1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lowerLetter"/>
        <w:pStyle w:val="Heading3"/>
        <w:lvlText w:val="(%3)"/>
        <w:lvlJc w:val="left"/>
        <w:pPr>
          <w:ind w:left="720" w:hanging="432"/>
        </w:pPr>
        <w:rPr>
          <w:rFonts w:hint="default"/>
        </w:rPr>
      </w:lvl>
    </w:lvlOverride>
    <w:lvlOverride w:ilvl="3">
      <w:lvl w:ilvl="3">
        <w:start w:val="1"/>
        <w:numFmt w:val="lowerRoman"/>
        <w:lvlText w:val="(%4)"/>
        <w:lvlJc w:val="right"/>
        <w:pPr>
          <w:ind w:left="864" w:hanging="14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5)"/>
        <w:lvlJc w:val="left"/>
        <w:pPr>
          <w:ind w:left="1008" w:hanging="432"/>
        </w:pPr>
        <w:rPr>
          <w:rFonts w:hint="default"/>
        </w:rPr>
      </w:lvl>
    </w:lvlOverride>
    <w:lvlOverride w:ilvl="5">
      <w:lvl w:ilvl="5">
        <w:start w:val="1"/>
        <w:numFmt w:val="lowerLetter"/>
        <w:pStyle w:val="Heading6"/>
        <w:lvlText w:val="%6)"/>
        <w:lvlJc w:val="left"/>
        <w:pPr>
          <w:ind w:left="1152" w:hanging="432"/>
        </w:pPr>
        <w:rPr>
          <w:rFonts w:hint="default"/>
        </w:rPr>
      </w:lvl>
    </w:lvlOverride>
    <w:lvlOverride w:ilvl="6">
      <w:lvl w:ilvl="6">
        <w:start w:val="1"/>
        <w:numFmt w:val="lowerRoman"/>
        <w:pStyle w:val="Heading7"/>
        <w:lvlText w:val="%7)"/>
        <w:lvlJc w:val="right"/>
        <w:pPr>
          <w:ind w:left="1296" w:hanging="288"/>
        </w:pPr>
        <w:rPr>
          <w:rFonts w:hint="default"/>
        </w:rPr>
      </w:lvl>
    </w:lvlOverride>
    <w:lvlOverride w:ilvl="7">
      <w:lvl w:ilvl="7">
        <w:start w:val="1"/>
        <w:numFmt w:val="lowerLetter"/>
        <w:pStyle w:val="Heading8"/>
        <w:lvlText w:val="%8."/>
        <w:lvlJc w:val="left"/>
        <w:pPr>
          <w:ind w:left="1440" w:hanging="432"/>
        </w:pPr>
        <w:rPr>
          <w:rFonts w:hint="default"/>
        </w:rPr>
      </w:lvl>
    </w:lvlOverride>
    <w:lvlOverride w:ilvl="8">
      <w:lvl w:ilvl="8">
        <w:start w:val="1"/>
        <w:numFmt w:val="lowerRoman"/>
        <w:pStyle w:val="Heading9"/>
        <w:lvlText w:val="%9."/>
        <w:lvlJc w:val="right"/>
        <w:pPr>
          <w:ind w:left="1584" w:hanging="144"/>
        </w:pPr>
        <w:rPr>
          <w:rFonts w:hint="default"/>
        </w:rPr>
      </w:lvl>
    </w:lvlOverride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chicago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Type" w:val="ReportCol1"/>
    <w:docVar w:name="Template" w:val="GF Report Template 1 Column.dotx"/>
  </w:docVars>
  <w:rsids>
    <w:rsidRoot w:val="00151409"/>
    <w:rsid w:val="000006B6"/>
    <w:rsid w:val="000010E9"/>
    <w:rsid w:val="000014EC"/>
    <w:rsid w:val="00005EEA"/>
    <w:rsid w:val="000067AC"/>
    <w:rsid w:val="00010133"/>
    <w:rsid w:val="000107A5"/>
    <w:rsid w:val="00011089"/>
    <w:rsid w:val="000113BB"/>
    <w:rsid w:val="000132E8"/>
    <w:rsid w:val="0001554D"/>
    <w:rsid w:val="00016124"/>
    <w:rsid w:val="000205D6"/>
    <w:rsid w:val="000219F2"/>
    <w:rsid w:val="000226A7"/>
    <w:rsid w:val="00023606"/>
    <w:rsid w:val="00024539"/>
    <w:rsid w:val="000246F8"/>
    <w:rsid w:val="00024DFE"/>
    <w:rsid w:val="000252D1"/>
    <w:rsid w:val="00026B43"/>
    <w:rsid w:val="00026D48"/>
    <w:rsid w:val="00027513"/>
    <w:rsid w:val="00027D89"/>
    <w:rsid w:val="00031C81"/>
    <w:rsid w:val="0003332C"/>
    <w:rsid w:val="00034984"/>
    <w:rsid w:val="00035567"/>
    <w:rsid w:val="00045656"/>
    <w:rsid w:val="00046045"/>
    <w:rsid w:val="00047C4F"/>
    <w:rsid w:val="00051B8F"/>
    <w:rsid w:val="00052C0A"/>
    <w:rsid w:val="00054E5F"/>
    <w:rsid w:val="000555C6"/>
    <w:rsid w:val="0005639B"/>
    <w:rsid w:val="00057251"/>
    <w:rsid w:val="00057F5E"/>
    <w:rsid w:val="00061ABE"/>
    <w:rsid w:val="00061E7D"/>
    <w:rsid w:val="0006362B"/>
    <w:rsid w:val="00065FF8"/>
    <w:rsid w:val="00070553"/>
    <w:rsid w:val="00070EAA"/>
    <w:rsid w:val="00072DA3"/>
    <w:rsid w:val="000750A2"/>
    <w:rsid w:val="00080524"/>
    <w:rsid w:val="00081465"/>
    <w:rsid w:val="000814A0"/>
    <w:rsid w:val="0008254D"/>
    <w:rsid w:val="00086420"/>
    <w:rsid w:val="0009087B"/>
    <w:rsid w:val="000922E8"/>
    <w:rsid w:val="00093ED6"/>
    <w:rsid w:val="000A0752"/>
    <w:rsid w:val="000A326F"/>
    <w:rsid w:val="000A44A2"/>
    <w:rsid w:val="000A53AE"/>
    <w:rsid w:val="000A5525"/>
    <w:rsid w:val="000A5BD5"/>
    <w:rsid w:val="000B1F28"/>
    <w:rsid w:val="000B3376"/>
    <w:rsid w:val="000B3DD4"/>
    <w:rsid w:val="000B3E58"/>
    <w:rsid w:val="000B4119"/>
    <w:rsid w:val="000B50DE"/>
    <w:rsid w:val="000B7272"/>
    <w:rsid w:val="000C038F"/>
    <w:rsid w:val="000C0837"/>
    <w:rsid w:val="000C1DFB"/>
    <w:rsid w:val="000C377B"/>
    <w:rsid w:val="000C647F"/>
    <w:rsid w:val="000C75B9"/>
    <w:rsid w:val="000D209C"/>
    <w:rsid w:val="000D274D"/>
    <w:rsid w:val="000D3C54"/>
    <w:rsid w:val="000D40D9"/>
    <w:rsid w:val="000D50F5"/>
    <w:rsid w:val="000D5C26"/>
    <w:rsid w:val="000D5EF8"/>
    <w:rsid w:val="000D5F42"/>
    <w:rsid w:val="000D70FD"/>
    <w:rsid w:val="000E340D"/>
    <w:rsid w:val="000E4D89"/>
    <w:rsid w:val="000F2327"/>
    <w:rsid w:val="000F2FF5"/>
    <w:rsid w:val="000F508C"/>
    <w:rsid w:val="000F5BD5"/>
    <w:rsid w:val="001061F1"/>
    <w:rsid w:val="001067EF"/>
    <w:rsid w:val="00107BFD"/>
    <w:rsid w:val="001100A4"/>
    <w:rsid w:val="0011038C"/>
    <w:rsid w:val="00110820"/>
    <w:rsid w:val="001111F2"/>
    <w:rsid w:val="00112A17"/>
    <w:rsid w:val="00114D0F"/>
    <w:rsid w:val="00122DF8"/>
    <w:rsid w:val="00125B5B"/>
    <w:rsid w:val="0012746E"/>
    <w:rsid w:val="00131A4D"/>
    <w:rsid w:val="00133325"/>
    <w:rsid w:val="001335EF"/>
    <w:rsid w:val="001353B7"/>
    <w:rsid w:val="0013691B"/>
    <w:rsid w:val="00137C9A"/>
    <w:rsid w:val="0014030C"/>
    <w:rsid w:val="001433DA"/>
    <w:rsid w:val="00143D24"/>
    <w:rsid w:val="0014423D"/>
    <w:rsid w:val="0015066F"/>
    <w:rsid w:val="00150A62"/>
    <w:rsid w:val="00151409"/>
    <w:rsid w:val="001540E2"/>
    <w:rsid w:val="00155B50"/>
    <w:rsid w:val="00160B78"/>
    <w:rsid w:val="00162EB8"/>
    <w:rsid w:val="00165B08"/>
    <w:rsid w:val="00166F99"/>
    <w:rsid w:val="00171194"/>
    <w:rsid w:val="00171496"/>
    <w:rsid w:val="00171C99"/>
    <w:rsid w:val="001731EC"/>
    <w:rsid w:val="00176CAB"/>
    <w:rsid w:val="00176F6E"/>
    <w:rsid w:val="00176F91"/>
    <w:rsid w:val="001770AA"/>
    <w:rsid w:val="00183CF2"/>
    <w:rsid w:val="001855B8"/>
    <w:rsid w:val="00186827"/>
    <w:rsid w:val="0019196E"/>
    <w:rsid w:val="00191F9E"/>
    <w:rsid w:val="0019356C"/>
    <w:rsid w:val="00197AE7"/>
    <w:rsid w:val="001A1324"/>
    <w:rsid w:val="001A15ED"/>
    <w:rsid w:val="001A1672"/>
    <w:rsid w:val="001A5108"/>
    <w:rsid w:val="001A79A5"/>
    <w:rsid w:val="001B65AD"/>
    <w:rsid w:val="001B7A6C"/>
    <w:rsid w:val="001C14B3"/>
    <w:rsid w:val="001C2A66"/>
    <w:rsid w:val="001C3DD1"/>
    <w:rsid w:val="001C7404"/>
    <w:rsid w:val="001D0D08"/>
    <w:rsid w:val="001D258B"/>
    <w:rsid w:val="001D3E32"/>
    <w:rsid w:val="001D5D81"/>
    <w:rsid w:val="001D62E9"/>
    <w:rsid w:val="001E1357"/>
    <w:rsid w:val="001E2C34"/>
    <w:rsid w:val="001E3D59"/>
    <w:rsid w:val="001E70EB"/>
    <w:rsid w:val="001F1A9A"/>
    <w:rsid w:val="001F2DB3"/>
    <w:rsid w:val="001F4F2B"/>
    <w:rsid w:val="001F6923"/>
    <w:rsid w:val="001F7FBE"/>
    <w:rsid w:val="0020093A"/>
    <w:rsid w:val="00200C0B"/>
    <w:rsid w:val="00203C2B"/>
    <w:rsid w:val="00206186"/>
    <w:rsid w:val="002063CF"/>
    <w:rsid w:val="0020722A"/>
    <w:rsid w:val="002073BC"/>
    <w:rsid w:val="002075BA"/>
    <w:rsid w:val="00207B47"/>
    <w:rsid w:val="00210E52"/>
    <w:rsid w:val="00224722"/>
    <w:rsid w:val="0022562D"/>
    <w:rsid w:val="00227189"/>
    <w:rsid w:val="002314D3"/>
    <w:rsid w:val="00232F80"/>
    <w:rsid w:val="00234462"/>
    <w:rsid w:val="00234DE2"/>
    <w:rsid w:val="00235CA2"/>
    <w:rsid w:val="0023606D"/>
    <w:rsid w:val="00236822"/>
    <w:rsid w:val="00237AA2"/>
    <w:rsid w:val="00237D13"/>
    <w:rsid w:val="0024020E"/>
    <w:rsid w:val="00242BB9"/>
    <w:rsid w:val="002509ED"/>
    <w:rsid w:val="00252603"/>
    <w:rsid w:val="0025351E"/>
    <w:rsid w:val="00254D2F"/>
    <w:rsid w:val="00256E17"/>
    <w:rsid w:val="0026216D"/>
    <w:rsid w:val="002643C4"/>
    <w:rsid w:val="00265C7A"/>
    <w:rsid w:val="00266AEC"/>
    <w:rsid w:val="00270779"/>
    <w:rsid w:val="0027163F"/>
    <w:rsid w:val="0027457F"/>
    <w:rsid w:val="0027563A"/>
    <w:rsid w:val="00276608"/>
    <w:rsid w:val="00276AD2"/>
    <w:rsid w:val="002779F7"/>
    <w:rsid w:val="00280064"/>
    <w:rsid w:val="0028050A"/>
    <w:rsid w:val="002820CF"/>
    <w:rsid w:val="0028306D"/>
    <w:rsid w:val="00283BED"/>
    <w:rsid w:val="00284808"/>
    <w:rsid w:val="0028707E"/>
    <w:rsid w:val="002904E9"/>
    <w:rsid w:val="00290708"/>
    <w:rsid w:val="00292CD9"/>
    <w:rsid w:val="002937B0"/>
    <w:rsid w:val="002938CB"/>
    <w:rsid w:val="002961E8"/>
    <w:rsid w:val="002967A7"/>
    <w:rsid w:val="002968F9"/>
    <w:rsid w:val="0029796C"/>
    <w:rsid w:val="002A038C"/>
    <w:rsid w:val="002A244F"/>
    <w:rsid w:val="002A4684"/>
    <w:rsid w:val="002A4AF8"/>
    <w:rsid w:val="002A5B89"/>
    <w:rsid w:val="002A6B00"/>
    <w:rsid w:val="002A72DB"/>
    <w:rsid w:val="002A7635"/>
    <w:rsid w:val="002B07E9"/>
    <w:rsid w:val="002B0F35"/>
    <w:rsid w:val="002B3C18"/>
    <w:rsid w:val="002B610F"/>
    <w:rsid w:val="002B6843"/>
    <w:rsid w:val="002B7BD7"/>
    <w:rsid w:val="002C04E1"/>
    <w:rsid w:val="002C35FE"/>
    <w:rsid w:val="002C3CEB"/>
    <w:rsid w:val="002C3F0C"/>
    <w:rsid w:val="002C47A3"/>
    <w:rsid w:val="002C4A2A"/>
    <w:rsid w:val="002C5F37"/>
    <w:rsid w:val="002C6367"/>
    <w:rsid w:val="002C788C"/>
    <w:rsid w:val="002D16BE"/>
    <w:rsid w:val="002D2993"/>
    <w:rsid w:val="002D30D5"/>
    <w:rsid w:val="002D3D93"/>
    <w:rsid w:val="002D5730"/>
    <w:rsid w:val="002D5BE3"/>
    <w:rsid w:val="002D693F"/>
    <w:rsid w:val="002E2975"/>
    <w:rsid w:val="002E6583"/>
    <w:rsid w:val="002E757C"/>
    <w:rsid w:val="002E7587"/>
    <w:rsid w:val="002E7B5C"/>
    <w:rsid w:val="002F08D8"/>
    <w:rsid w:val="002F2F7C"/>
    <w:rsid w:val="002F560B"/>
    <w:rsid w:val="002F62BD"/>
    <w:rsid w:val="00300B84"/>
    <w:rsid w:val="00300E44"/>
    <w:rsid w:val="003052A0"/>
    <w:rsid w:val="00306B94"/>
    <w:rsid w:val="00311C1F"/>
    <w:rsid w:val="00314800"/>
    <w:rsid w:val="0031735C"/>
    <w:rsid w:val="00317A29"/>
    <w:rsid w:val="00320308"/>
    <w:rsid w:val="00322216"/>
    <w:rsid w:val="00327299"/>
    <w:rsid w:val="00331B24"/>
    <w:rsid w:val="00335220"/>
    <w:rsid w:val="00340046"/>
    <w:rsid w:val="003427A8"/>
    <w:rsid w:val="00347C52"/>
    <w:rsid w:val="00354A0B"/>
    <w:rsid w:val="00356B7C"/>
    <w:rsid w:val="00360B1B"/>
    <w:rsid w:val="00362590"/>
    <w:rsid w:val="00364326"/>
    <w:rsid w:val="0037213B"/>
    <w:rsid w:val="00372334"/>
    <w:rsid w:val="00372CB9"/>
    <w:rsid w:val="00381C98"/>
    <w:rsid w:val="0038486D"/>
    <w:rsid w:val="00387FC3"/>
    <w:rsid w:val="00391FA2"/>
    <w:rsid w:val="00394577"/>
    <w:rsid w:val="00394694"/>
    <w:rsid w:val="00395FFA"/>
    <w:rsid w:val="003A07F0"/>
    <w:rsid w:val="003A0F8A"/>
    <w:rsid w:val="003A421C"/>
    <w:rsid w:val="003A5EB1"/>
    <w:rsid w:val="003B09C8"/>
    <w:rsid w:val="003B4E43"/>
    <w:rsid w:val="003B6678"/>
    <w:rsid w:val="003C061C"/>
    <w:rsid w:val="003C170F"/>
    <w:rsid w:val="003C24D6"/>
    <w:rsid w:val="003C6B63"/>
    <w:rsid w:val="003D5A93"/>
    <w:rsid w:val="003D66D8"/>
    <w:rsid w:val="003D70F4"/>
    <w:rsid w:val="003D72DD"/>
    <w:rsid w:val="003E2802"/>
    <w:rsid w:val="003E5414"/>
    <w:rsid w:val="003E58D8"/>
    <w:rsid w:val="003E5AE2"/>
    <w:rsid w:val="003E5D74"/>
    <w:rsid w:val="003E72C4"/>
    <w:rsid w:val="003F11D5"/>
    <w:rsid w:val="003F167F"/>
    <w:rsid w:val="003F16CB"/>
    <w:rsid w:val="003F47A3"/>
    <w:rsid w:val="003F63B7"/>
    <w:rsid w:val="00400DAB"/>
    <w:rsid w:val="0040147F"/>
    <w:rsid w:val="00401CED"/>
    <w:rsid w:val="00401ED6"/>
    <w:rsid w:val="0040558C"/>
    <w:rsid w:val="00407538"/>
    <w:rsid w:val="0040792A"/>
    <w:rsid w:val="00410D72"/>
    <w:rsid w:val="00411A09"/>
    <w:rsid w:val="0041490D"/>
    <w:rsid w:val="00420366"/>
    <w:rsid w:val="00421004"/>
    <w:rsid w:val="004219E0"/>
    <w:rsid w:val="00423C45"/>
    <w:rsid w:val="00426636"/>
    <w:rsid w:val="00426908"/>
    <w:rsid w:val="00426FC0"/>
    <w:rsid w:val="00431215"/>
    <w:rsid w:val="00434286"/>
    <w:rsid w:val="004345DC"/>
    <w:rsid w:val="00437CED"/>
    <w:rsid w:val="00437DC3"/>
    <w:rsid w:val="004401DF"/>
    <w:rsid w:val="00441334"/>
    <w:rsid w:val="004426C1"/>
    <w:rsid w:val="004427C6"/>
    <w:rsid w:val="00442EEC"/>
    <w:rsid w:val="004431F4"/>
    <w:rsid w:val="004456B9"/>
    <w:rsid w:val="0044609B"/>
    <w:rsid w:val="00447B1E"/>
    <w:rsid w:val="00451CBE"/>
    <w:rsid w:val="004549D0"/>
    <w:rsid w:val="0045519F"/>
    <w:rsid w:val="004551D2"/>
    <w:rsid w:val="004568B9"/>
    <w:rsid w:val="00456EE2"/>
    <w:rsid w:val="00462664"/>
    <w:rsid w:val="00464067"/>
    <w:rsid w:val="00464F55"/>
    <w:rsid w:val="0046684A"/>
    <w:rsid w:val="004674D5"/>
    <w:rsid w:val="0046783D"/>
    <w:rsid w:val="00471D9C"/>
    <w:rsid w:val="00474DCD"/>
    <w:rsid w:val="00475C1C"/>
    <w:rsid w:val="00477290"/>
    <w:rsid w:val="004821A7"/>
    <w:rsid w:val="00483776"/>
    <w:rsid w:val="00485FB1"/>
    <w:rsid w:val="0048609F"/>
    <w:rsid w:val="004869FA"/>
    <w:rsid w:val="0049192F"/>
    <w:rsid w:val="0049236B"/>
    <w:rsid w:val="004936C7"/>
    <w:rsid w:val="0049411D"/>
    <w:rsid w:val="00495443"/>
    <w:rsid w:val="00496517"/>
    <w:rsid w:val="004A065D"/>
    <w:rsid w:val="004A73A4"/>
    <w:rsid w:val="004B1029"/>
    <w:rsid w:val="004B567E"/>
    <w:rsid w:val="004B6774"/>
    <w:rsid w:val="004C3A1C"/>
    <w:rsid w:val="004C5A1D"/>
    <w:rsid w:val="004C6793"/>
    <w:rsid w:val="004C7778"/>
    <w:rsid w:val="004D1627"/>
    <w:rsid w:val="004D33EE"/>
    <w:rsid w:val="004D34AC"/>
    <w:rsid w:val="004D4827"/>
    <w:rsid w:val="004D5412"/>
    <w:rsid w:val="004E056E"/>
    <w:rsid w:val="004E2968"/>
    <w:rsid w:val="004E2F60"/>
    <w:rsid w:val="004E3C17"/>
    <w:rsid w:val="004E416F"/>
    <w:rsid w:val="004E5FE3"/>
    <w:rsid w:val="004E70C4"/>
    <w:rsid w:val="004E7A9E"/>
    <w:rsid w:val="004F00E7"/>
    <w:rsid w:val="004F2C76"/>
    <w:rsid w:val="004F6D58"/>
    <w:rsid w:val="00504263"/>
    <w:rsid w:val="00505159"/>
    <w:rsid w:val="00506C48"/>
    <w:rsid w:val="00506D07"/>
    <w:rsid w:val="00512023"/>
    <w:rsid w:val="005174A1"/>
    <w:rsid w:val="00522539"/>
    <w:rsid w:val="00530C65"/>
    <w:rsid w:val="00531ECC"/>
    <w:rsid w:val="0053217A"/>
    <w:rsid w:val="00535926"/>
    <w:rsid w:val="0053701A"/>
    <w:rsid w:val="00537078"/>
    <w:rsid w:val="0053784E"/>
    <w:rsid w:val="00542B92"/>
    <w:rsid w:val="005446C5"/>
    <w:rsid w:val="005450C5"/>
    <w:rsid w:val="00550914"/>
    <w:rsid w:val="005513F0"/>
    <w:rsid w:val="0055177D"/>
    <w:rsid w:val="00551C0A"/>
    <w:rsid w:val="0055454A"/>
    <w:rsid w:val="005550A0"/>
    <w:rsid w:val="005550FF"/>
    <w:rsid w:val="0055523F"/>
    <w:rsid w:val="005558A3"/>
    <w:rsid w:val="00557654"/>
    <w:rsid w:val="005578E8"/>
    <w:rsid w:val="00560074"/>
    <w:rsid w:val="00560096"/>
    <w:rsid w:val="00560302"/>
    <w:rsid w:val="00562B3D"/>
    <w:rsid w:val="005654E8"/>
    <w:rsid w:val="005659E0"/>
    <w:rsid w:val="00576254"/>
    <w:rsid w:val="0058094E"/>
    <w:rsid w:val="00582916"/>
    <w:rsid w:val="0058415B"/>
    <w:rsid w:val="005867E7"/>
    <w:rsid w:val="00586D7F"/>
    <w:rsid w:val="0058704D"/>
    <w:rsid w:val="00594545"/>
    <w:rsid w:val="005945F4"/>
    <w:rsid w:val="00596F49"/>
    <w:rsid w:val="005A088F"/>
    <w:rsid w:val="005A5425"/>
    <w:rsid w:val="005A65B7"/>
    <w:rsid w:val="005A6EC5"/>
    <w:rsid w:val="005A7B2D"/>
    <w:rsid w:val="005A7DE2"/>
    <w:rsid w:val="005B03D1"/>
    <w:rsid w:val="005B0A64"/>
    <w:rsid w:val="005B17A0"/>
    <w:rsid w:val="005B230B"/>
    <w:rsid w:val="005B32AD"/>
    <w:rsid w:val="005B71F2"/>
    <w:rsid w:val="005C2868"/>
    <w:rsid w:val="005C3AF5"/>
    <w:rsid w:val="005C4096"/>
    <w:rsid w:val="005C4B13"/>
    <w:rsid w:val="005D02D2"/>
    <w:rsid w:val="005E0160"/>
    <w:rsid w:val="005E0753"/>
    <w:rsid w:val="005E0AB3"/>
    <w:rsid w:val="005E1682"/>
    <w:rsid w:val="005E3F05"/>
    <w:rsid w:val="005E79E0"/>
    <w:rsid w:val="005E7DDB"/>
    <w:rsid w:val="005E7F68"/>
    <w:rsid w:val="005F1396"/>
    <w:rsid w:val="005F5491"/>
    <w:rsid w:val="005F58A2"/>
    <w:rsid w:val="005F6D34"/>
    <w:rsid w:val="005F7C87"/>
    <w:rsid w:val="0060062E"/>
    <w:rsid w:val="00604438"/>
    <w:rsid w:val="0060607B"/>
    <w:rsid w:val="00606FC4"/>
    <w:rsid w:val="00607164"/>
    <w:rsid w:val="006175D8"/>
    <w:rsid w:val="00620031"/>
    <w:rsid w:val="00620A2C"/>
    <w:rsid w:val="006218A1"/>
    <w:rsid w:val="00621E54"/>
    <w:rsid w:val="006226FF"/>
    <w:rsid w:val="0062470F"/>
    <w:rsid w:val="006272B4"/>
    <w:rsid w:val="00631314"/>
    <w:rsid w:val="00632416"/>
    <w:rsid w:val="0063467F"/>
    <w:rsid w:val="00635FE2"/>
    <w:rsid w:val="00637481"/>
    <w:rsid w:val="006448F5"/>
    <w:rsid w:val="00644ADF"/>
    <w:rsid w:val="00645519"/>
    <w:rsid w:val="0064597B"/>
    <w:rsid w:val="006533BD"/>
    <w:rsid w:val="0065441A"/>
    <w:rsid w:val="00661EEB"/>
    <w:rsid w:val="0066292F"/>
    <w:rsid w:val="00667DF0"/>
    <w:rsid w:val="00671ABB"/>
    <w:rsid w:val="00671BA0"/>
    <w:rsid w:val="00673D5D"/>
    <w:rsid w:val="006747E3"/>
    <w:rsid w:val="00675C66"/>
    <w:rsid w:val="00681758"/>
    <w:rsid w:val="00681AB9"/>
    <w:rsid w:val="00681ABF"/>
    <w:rsid w:val="00681CBC"/>
    <w:rsid w:val="006847F3"/>
    <w:rsid w:val="006874B9"/>
    <w:rsid w:val="006875FC"/>
    <w:rsid w:val="00691D77"/>
    <w:rsid w:val="00694931"/>
    <w:rsid w:val="006A2981"/>
    <w:rsid w:val="006A2F75"/>
    <w:rsid w:val="006A627F"/>
    <w:rsid w:val="006A6352"/>
    <w:rsid w:val="006A635C"/>
    <w:rsid w:val="006A7322"/>
    <w:rsid w:val="006A7D42"/>
    <w:rsid w:val="006B1FCF"/>
    <w:rsid w:val="006B7D01"/>
    <w:rsid w:val="006C1138"/>
    <w:rsid w:val="006C144E"/>
    <w:rsid w:val="006C1655"/>
    <w:rsid w:val="006C1896"/>
    <w:rsid w:val="006C3D74"/>
    <w:rsid w:val="006C44E8"/>
    <w:rsid w:val="006C56FD"/>
    <w:rsid w:val="006C6A10"/>
    <w:rsid w:val="006D29B2"/>
    <w:rsid w:val="006D397C"/>
    <w:rsid w:val="006D61AC"/>
    <w:rsid w:val="006D65C9"/>
    <w:rsid w:val="006D7841"/>
    <w:rsid w:val="006D7EAB"/>
    <w:rsid w:val="006E0258"/>
    <w:rsid w:val="006E0942"/>
    <w:rsid w:val="006E1870"/>
    <w:rsid w:val="006E24A3"/>
    <w:rsid w:val="006E31A8"/>
    <w:rsid w:val="006E331F"/>
    <w:rsid w:val="006E3D54"/>
    <w:rsid w:val="006E44DB"/>
    <w:rsid w:val="006E6095"/>
    <w:rsid w:val="006E6A96"/>
    <w:rsid w:val="006E6E0D"/>
    <w:rsid w:val="006F0431"/>
    <w:rsid w:val="006F1AC2"/>
    <w:rsid w:val="006F1C1B"/>
    <w:rsid w:val="00701B47"/>
    <w:rsid w:val="007043C7"/>
    <w:rsid w:val="007076DE"/>
    <w:rsid w:val="0070793C"/>
    <w:rsid w:val="007079BF"/>
    <w:rsid w:val="00710A12"/>
    <w:rsid w:val="00711BFA"/>
    <w:rsid w:val="00711CD9"/>
    <w:rsid w:val="00714E95"/>
    <w:rsid w:val="00715982"/>
    <w:rsid w:val="007172F5"/>
    <w:rsid w:val="00723FD2"/>
    <w:rsid w:val="0072678D"/>
    <w:rsid w:val="00730369"/>
    <w:rsid w:val="00730CEA"/>
    <w:rsid w:val="00732E7B"/>
    <w:rsid w:val="0073431F"/>
    <w:rsid w:val="007350A7"/>
    <w:rsid w:val="00735D00"/>
    <w:rsid w:val="007371A2"/>
    <w:rsid w:val="00737E12"/>
    <w:rsid w:val="0074195F"/>
    <w:rsid w:val="007427AB"/>
    <w:rsid w:val="00743058"/>
    <w:rsid w:val="007454A4"/>
    <w:rsid w:val="00751836"/>
    <w:rsid w:val="0075312D"/>
    <w:rsid w:val="00753A48"/>
    <w:rsid w:val="0075557F"/>
    <w:rsid w:val="0075707F"/>
    <w:rsid w:val="00757930"/>
    <w:rsid w:val="00760AF4"/>
    <w:rsid w:val="00761968"/>
    <w:rsid w:val="007621C4"/>
    <w:rsid w:val="00765198"/>
    <w:rsid w:val="00767A0D"/>
    <w:rsid w:val="00767BC9"/>
    <w:rsid w:val="00771B4B"/>
    <w:rsid w:val="00775797"/>
    <w:rsid w:val="00777F70"/>
    <w:rsid w:val="00781328"/>
    <w:rsid w:val="00781A16"/>
    <w:rsid w:val="00782DA2"/>
    <w:rsid w:val="00784A82"/>
    <w:rsid w:val="00784CA5"/>
    <w:rsid w:val="00784F0D"/>
    <w:rsid w:val="007851AB"/>
    <w:rsid w:val="00785D26"/>
    <w:rsid w:val="00792469"/>
    <w:rsid w:val="007932F6"/>
    <w:rsid w:val="00796BAB"/>
    <w:rsid w:val="00797AF8"/>
    <w:rsid w:val="00797E93"/>
    <w:rsid w:val="007A450B"/>
    <w:rsid w:val="007A47CD"/>
    <w:rsid w:val="007A59CE"/>
    <w:rsid w:val="007A5D57"/>
    <w:rsid w:val="007B3D20"/>
    <w:rsid w:val="007B7C03"/>
    <w:rsid w:val="007C2970"/>
    <w:rsid w:val="007C29F4"/>
    <w:rsid w:val="007D3EFC"/>
    <w:rsid w:val="007D50A6"/>
    <w:rsid w:val="007E323F"/>
    <w:rsid w:val="007E3BEC"/>
    <w:rsid w:val="007E5BA3"/>
    <w:rsid w:val="007F0BD8"/>
    <w:rsid w:val="007F1274"/>
    <w:rsid w:val="007F3C1E"/>
    <w:rsid w:val="007F6CC2"/>
    <w:rsid w:val="008020C1"/>
    <w:rsid w:val="00803532"/>
    <w:rsid w:val="00803A9C"/>
    <w:rsid w:val="00805279"/>
    <w:rsid w:val="00810189"/>
    <w:rsid w:val="0081048F"/>
    <w:rsid w:val="00811117"/>
    <w:rsid w:val="008129C4"/>
    <w:rsid w:val="00815B06"/>
    <w:rsid w:val="008163E0"/>
    <w:rsid w:val="0081704F"/>
    <w:rsid w:val="008170B9"/>
    <w:rsid w:val="00822495"/>
    <w:rsid w:val="008224C0"/>
    <w:rsid w:val="00822D0E"/>
    <w:rsid w:val="00823003"/>
    <w:rsid w:val="00823988"/>
    <w:rsid w:val="00823A34"/>
    <w:rsid w:val="00823E4C"/>
    <w:rsid w:val="008250C6"/>
    <w:rsid w:val="00825C51"/>
    <w:rsid w:val="008270AE"/>
    <w:rsid w:val="008313E6"/>
    <w:rsid w:val="008313F1"/>
    <w:rsid w:val="00832905"/>
    <w:rsid w:val="00835497"/>
    <w:rsid w:val="00835BCD"/>
    <w:rsid w:val="0083662D"/>
    <w:rsid w:val="008366C0"/>
    <w:rsid w:val="00840D70"/>
    <w:rsid w:val="00842C7E"/>
    <w:rsid w:val="0084370C"/>
    <w:rsid w:val="0084743E"/>
    <w:rsid w:val="008476CD"/>
    <w:rsid w:val="008514B0"/>
    <w:rsid w:val="00851B9B"/>
    <w:rsid w:val="00853259"/>
    <w:rsid w:val="00856423"/>
    <w:rsid w:val="0085743B"/>
    <w:rsid w:val="0085787F"/>
    <w:rsid w:val="00862444"/>
    <w:rsid w:val="00862C3C"/>
    <w:rsid w:val="00865D6D"/>
    <w:rsid w:val="008664A6"/>
    <w:rsid w:val="00866542"/>
    <w:rsid w:val="00867BF1"/>
    <w:rsid w:val="008731F7"/>
    <w:rsid w:val="00875943"/>
    <w:rsid w:val="008762B8"/>
    <w:rsid w:val="00876D46"/>
    <w:rsid w:val="00877DF7"/>
    <w:rsid w:val="00881DB4"/>
    <w:rsid w:val="0088280B"/>
    <w:rsid w:val="00883AB5"/>
    <w:rsid w:val="0088473E"/>
    <w:rsid w:val="00885367"/>
    <w:rsid w:val="00885674"/>
    <w:rsid w:val="008922EE"/>
    <w:rsid w:val="00892591"/>
    <w:rsid w:val="00896244"/>
    <w:rsid w:val="008A7D85"/>
    <w:rsid w:val="008B02F9"/>
    <w:rsid w:val="008B04FD"/>
    <w:rsid w:val="008B47CC"/>
    <w:rsid w:val="008B4CC6"/>
    <w:rsid w:val="008B737A"/>
    <w:rsid w:val="008B78A9"/>
    <w:rsid w:val="008C0697"/>
    <w:rsid w:val="008C0962"/>
    <w:rsid w:val="008C1495"/>
    <w:rsid w:val="008C2725"/>
    <w:rsid w:val="008C2C6F"/>
    <w:rsid w:val="008C51BF"/>
    <w:rsid w:val="008D0E38"/>
    <w:rsid w:val="008D5732"/>
    <w:rsid w:val="008D6D58"/>
    <w:rsid w:val="008E10AF"/>
    <w:rsid w:val="008E37CF"/>
    <w:rsid w:val="008E3ECC"/>
    <w:rsid w:val="008E68BA"/>
    <w:rsid w:val="008F6536"/>
    <w:rsid w:val="00900F0C"/>
    <w:rsid w:val="00900FDC"/>
    <w:rsid w:val="00902091"/>
    <w:rsid w:val="009026A1"/>
    <w:rsid w:val="0090459A"/>
    <w:rsid w:val="00904607"/>
    <w:rsid w:val="00904AD2"/>
    <w:rsid w:val="00906555"/>
    <w:rsid w:val="00910134"/>
    <w:rsid w:val="0091053B"/>
    <w:rsid w:val="009106C8"/>
    <w:rsid w:val="00910C10"/>
    <w:rsid w:val="009131DC"/>
    <w:rsid w:val="009139BC"/>
    <w:rsid w:val="00913E8A"/>
    <w:rsid w:val="00914578"/>
    <w:rsid w:val="00914CE1"/>
    <w:rsid w:val="009166D7"/>
    <w:rsid w:val="00916887"/>
    <w:rsid w:val="009203E3"/>
    <w:rsid w:val="0092174B"/>
    <w:rsid w:val="0092188E"/>
    <w:rsid w:val="009225B8"/>
    <w:rsid w:val="0092294E"/>
    <w:rsid w:val="0092298F"/>
    <w:rsid w:val="00922D8E"/>
    <w:rsid w:val="0093555B"/>
    <w:rsid w:val="00940386"/>
    <w:rsid w:val="00946178"/>
    <w:rsid w:val="00950A92"/>
    <w:rsid w:val="00953077"/>
    <w:rsid w:val="009531CB"/>
    <w:rsid w:val="009534CF"/>
    <w:rsid w:val="00953E7E"/>
    <w:rsid w:val="009550FD"/>
    <w:rsid w:val="00955104"/>
    <w:rsid w:val="00955A75"/>
    <w:rsid w:val="00957A4D"/>
    <w:rsid w:val="00960A3D"/>
    <w:rsid w:val="0096352F"/>
    <w:rsid w:val="009669D1"/>
    <w:rsid w:val="00970DBC"/>
    <w:rsid w:val="009710A7"/>
    <w:rsid w:val="0097439E"/>
    <w:rsid w:val="00974DBC"/>
    <w:rsid w:val="00975568"/>
    <w:rsid w:val="0097625A"/>
    <w:rsid w:val="009829BE"/>
    <w:rsid w:val="00983FE7"/>
    <w:rsid w:val="00985B1B"/>
    <w:rsid w:val="0098682A"/>
    <w:rsid w:val="00987C1D"/>
    <w:rsid w:val="00990BFC"/>
    <w:rsid w:val="009936E7"/>
    <w:rsid w:val="0099402F"/>
    <w:rsid w:val="00997B89"/>
    <w:rsid w:val="00997D63"/>
    <w:rsid w:val="009A0115"/>
    <w:rsid w:val="009A0BA0"/>
    <w:rsid w:val="009A232B"/>
    <w:rsid w:val="009A28E5"/>
    <w:rsid w:val="009A38EF"/>
    <w:rsid w:val="009A3AA2"/>
    <w:rsid w:val="009A5DB8"/>
    <w:rsid w:val="009B17BF"/>
    <w:rsid w:val="009B324B"/>
    <w:rsid w:val="009B50A1"/>
    <w:rsid w:val="009B54CF"/>
    <w:rsid w:val="009B5923"/>
    <w:rsid w:val="009B5B50"/>
    <w:rsid w:val="009B687C"/>
    <w:rsid w:val="009B759B"/>
    <w:rsid w:val="009C11CF"/>
    <w:rsid w:val="009C1ABD"/>
    <w:rsid w:val="009C1CC3"/>
    <w:rsid w:val="009C318D"/>
    <w:rsid w:val="009C335C"/>
    <w:rsid w:val="009C5828"/>
    <w:rsid w:val="009D0370"/>
    <w:rsid w:val="009D0414"/>
    <w:rsid w:val="009D0B60"/>
    <w:rsid w:val="009D1E7E"/>
    <w:rsid w:val="009D207F"/>
    <w:rsid w:val="009D77BD"/>
    <w:rsid w:val="009E10F3"/>
    <w:rsid w:val="009E2E89"/>
    <w:rsid w:val="009E731C"/>
    <w:rsid w:val="009F0C9D"/>
    <w:rsid w:val="009F1B70"/>
    <w:rsid w:val="009F1F7D"/>
    <w:rsid w:val="009F43EF"/>
    <w:rsid w:val="009F6A2F"/>
    <w:rsid w:val="009F6EB3"/>
    <w:rsid w:val="00A022F0"/>
    <w:rsid w:val="00A04C6F"/>
    <w:rsid w:val="00A05120"/>
    <w:rsid w:val="00A07268"/>
    <w:rsid w:val="00A07293"/>
    <w:rsid w:val="00A07F98"/>
    <w:rsid w:val="00A10535"/>
    <w:rsid w:val="00A10DAE"/>
    <w:rsid w:val="00A120DF"/>
    <w:rsid w:val="00A1294A"/>
    <w:rsid w:val="00A130EE"/>
    <w:rsid w:val="00A137ED"/>
    <w:rsid w:val="00A13A2F"/>
    <w:rsid w:val="00A13C52"/>
    <w:rsid w:val="00A15F70"/>
    <w:rsid w:val="00A2002B"/>
    <w:rsid w:val="00A20645"/>
    <w:rsid w:val="00A226C7"/>
    <w:rsid w:val="00A24D82"/>
    <w:rsid w:val="00A24EE3"/>
    <w:rsid w:val="00A255E2"/>
    <w:rsid w:val="00A25D93"/>
    <w:rsid w:val="00A270D3"/>
    <w:rsid w:val="00A30F7A"/>
    <w:rsid w:val="00A3139A"/>
    <w:rsid w:val="00A3161C"/>
    <w:rsid w:val="00A33581"/>
    <w:rsid w:val="00A33760"/>
    <w:rsid w:val="00A358D6"/>
    <w:rsid w:val="00A372CB"/>
    <w:rsid w:val="00A4115D"/>
    <w:rsid w:val="00A425D8"/>
    <w:rsid w:val="00A4492A"/>
    <w:rsid w:val="00A44996"/>
    <w:rsid w:val="00A45CAB"/>
    <w:rsid w:val="00A45CBD"/>
    <w:rsid w:val="00A4696F"/>
    <w:rsid w:val="00A47058"/>
    <w:rsid w:val="00A50699"/>
    <w:rsid w:val="00A55DC7"/>
    <w:rsid w:val="00A5774C"/>
    <w:rsid w:val="00A5788B"/>
    <w:rsid w:val="00A631D6"/>
    <w:rsid w:val="00A6463B"/>
    <w:rsid w:val="00A66D9C"/>
    <w:rsid w:val="00A67CA1"/>
    <w:rsid w:val="00A70C41"/>
    <w:rsid w:val="00A71187"/>
    <w:rsid w:val="00A753C9"/>
    <w:rsid w:val="00A77789"/>
    <w:rsid w:val="00A77CCB"/>
    <w:rsid w:val="00A80BD5"/>
    <w:rsid w:val="00A828CE"/>
    <w:rsid w:val="00A83F95"/>
    <w:rsid w:val="00A85433"/>
    <w:rsid w:val="00A87693"/>
    <w:rsid w:val="00A902DD"/>
    <w:rsid w:val="00A905A5"/>
    <w:rsid w:val="00A93421"/>
    <w:rsid w:val="00A95839"/>
    <w:rsid w:val="00A96692"/>
    <w:rsid w:val="00A96900"/>
    <w:rsid w:val="00A96B6C"/>
    <w:rsid w:val="00AA0D7C"/>
    <w:rsid w:val="00AA1E00"/>
    <w:rsid w:val="00AA3CCF"/>
    <w:rsid w:val="00AA4484"/>
    <w:rsid w:val="00AA48BA"/>
    <w:rsid w:val="00AA53A0"/>
    <w:rsid w:val="00AA6133"/>
    <w:rsid w:val="00AB3925"/>
    <w:rsid w:val="00AB4C56"/>
    <w:rsid w:val="00AC1ACE"/>
    <w:rsid w:val="00AC1E81"/>
    <w:rsid w:val="00AC2846"/>
    <w:rsid w:val="00AC32CC"/>
    <w:rsid w:val="00AC5321"/>
    <w:rsid w:val="00AC536D"/>
    <w:rsid w:val="00AC6ED2"/>
    <w:rsid w:val="00AD72F6"/>
    <w:rsid w:val="00AD7D8D"/>
    <w:rsid w:val="00AE13E6"/>
    <w:rsid w:val="00AE40E4"/>
    <w:rsid w:val="00AE54FE"/>
    <w:rsid w:val="00AE5C9F"/>
    <w:rsid w:val="00AF10AA"/>
    <w:rsid w:val="00AF2473"/>
    <w:rsid w:val="00AF7A01"/>
    <w:rsid w:val="00B0400B"/>
    <w:rsid w:val="00B04927"/>
    <w:rsid w:val="00B04E81"/>
    <w:rsid w:val="00B052B8"/>
    <w:rsid w:val="00B05C6D"/>
    <w:rsid w:val="00B073CF"/>
    <w:rsid w:val="00B0799C"/>
    <w:rsid w:val="00B10274"/>
    <w:rsid w:val="00B11123"/>
    <w:rsid w:val="00B12EB3"/>
    <w:rsid w:val="00B1323B"/>
    <w:rsid w:val="00B15B59"/>
    <w:rsid w:val="00B22603"/>
    <w:rsid w:val="00B2573A"/>
    <w:rsid w:val="00B25E0F"/>
    <w:rsid w:val="00B266D3"/>
    <w:rsid w:val="00B27189"/>
    <w:rsid w:val="00B31C0C"/>
    <w:rsid w:val="00B33C3D"/>
    <w:rsid w:val="00B35AAC"/>
    <w:rsid w:val="00B401D2"/>
    <w:rsid w:val="00B4360B"/>
    <w:rsid w:val="00B4453C"/>
    <w:rsid w:val="00B44958"/>
    <w:rsid w:val="00B45236"/>
    <w:rsid w:val="00B45357"/>
    <w:rsid w:val="00B4649D"/>
    <w:rsid w:val="00B47AB4"/>
    <w:rsid w:val="00B501E9"/>
    <w:rsid w:val="00B52177"/>
    <w:rsid w:val="00B52C63"/>
    <w:rsid w:val="00B57683"/>
    <w:rsid w:val="00B60A27"/>
    <w:rsid w:val="00B60E99"/>
    <w:rsid w:val="00B61FC7"/>
    <w:rsid w:val="00B64F5C"/>
    <w:rsid w:val="00B64FBE"/>
    <w:rsid w:val="00B6581A"/>
    <w:rsid w:val="00B65CAE"/>
    <w:rsid w:val="00B677ED"/>
    <w:rsid w:val="00B707FB"/>
    <w:rsid w:val="00B724FA"/>
    <w:rsid w:val="00B806B9"/>
    <w:rsid w:val="00B809FC"/>
    <w:rsid w:val="00B8420C"/>
    <w:rsid w:val="00B87E2A"/>
    <w:rsid w:val="00B90B57"/>
    <w:rsid w:val="00B91A55"/>
    <w:rsid w:val="00B93299"/>
    <w:rsid w:val="00B97D22"/>
    <w:rsid w:val="00B97FD6"/>
    <w:rsid w:val="00BA08C0"/>
    <w:rsid w:val="00BA0F29"/>
    <w:rsid w:val="00BA3C8F"/>
    <w:rsid w:val="00BA4B58"/>
    <w:rsid w:val="00BA7683"/>
    <w:rsid w:val="00BB41EA"/>
    <w:rsid w:val="00BB421A"/>
    <w:rsid w:val="00BB4803"/>
    <w:rsid w:val="00BB48C9"/>
    <w:rsid w:val="00BB77C6"/>
    <w:rsid w:val="00BB782B"/>
    <w:rsid w:val="00BC03EE"/>
    <w:rsid w:val="00BC1386"/>
    <w:rsid w:val="00BC19AC"/>
    <w:rsid w:val="00BC3867"/>
    <w:rsid w:val="00BC4D71"/>
    <w:rsid w:val="00BC553B"/>
    <w:rsid w:val="00BC7B0F"/>
    <w:rsid w:val="00BD0293"/>
    <w:rsid w:val="00BD19BF"/>
    <w:rsid w:val="00BD3C16"/>
    <w:rsid w:val="00BD44CF"/>
    <w:rsid w:val="00BD5642"/>
    <w:rsid w:val="00BD5F5D"/>
    <w:rsid w:val="00BD6B50"/>
    <w:rsid w:val="00BD6DDE"/>
    <w:rsid w:val="00BD6ED3"/>
    <w:rsid w:val="00BE0BD6"/>
    <w:rsid w:val="00BE1AD4"/>
    <w:rsid w:val="00BE2D35"/>
    <w:rsid w:val="00BE2F37"/>
    <w:rsid w:val="00BE3EFE"/>
    <w:rsid w:val="00BE7294"/>
    <w:rsid w:val="00BF46AE"/>
    <w:rsid w:val="00C15F8D"/>
    <w:rsid w:val="00C16BFB"/>
    <w:rsid w:val="00C16F89"/>
    <w:rsid w:val="00C17356"/>
    <w:rsid w:val="00C228A6"/>
    <w:rsid w:val="00C249F9"/>
    <w:rsid w:val="00C24EAA"/>
    <w:rsid w:val="00C25475"/>
    <w:rsid w:val="00C26026"/>
    <w:rsid w:val="00C30D31"/>
    <w:rsid w:val="00C334E8"/>
    <w:rsid w:val="00C402A3"/>
    <w:rsid w:val="00C42107"/>
    <w:rsid w:val="00C42A1B"/>
    <w:rsid w:val="00C42F90"/>
    <w:rsid w:val="00C43326"/>
    <w:rsid w:val="00C434F0"/>
    <w:rsid w:val="00C47397"/>
    <w:rsid w:val="00C503E2"/>
    <w:rsid w:val="00C51150"/>
    <w:rsid w:val="00C5459A"/>
    <w:rsid w:val="00C551FC"/>
    <w:rsid w:val="00C56F7E"/>
    <w:rsid w:val="00C5725C"/>
    <w:rsid w:val="00C649DD"/>
    <w:rsid w:val="00C66623"/>
    <w:rsid w:val="00C729E5"/>
    <w:rsid w:val="00C73482"/>
    <w:rsid w:val="00C74C7B"/>
    <w:rsid w:val="00C7532C"/>
    <w:rsid w:val="00C838E8"/>
    <w:rsid w:val="00C83A6A"/>
    <w:rsid w:val="00C925BB"/>
    <w:rsid w:val="00C926C8"/>
    <w:rsid w:val="00C92715"/>
    <w:rsid w:val="00C94667"/>
    <w:rsid w:val="00C96A26"/>
    <w:rsid w:val="00C971C8"/>
    <w:rsid w:val="00C97DE2"/>
    <w:rsid w:val="00CA0CE0"/>
    <w:rsid w:val="00CA1714"/>
    <w:rsid w:val="00CA2D2D"/>
    <w:rsid w:val="00CA5409"/>
    <w:rsid w:val="00CA5700"/>
    <w:rsid w:val="00CB0A28"/>
    <w:rsid w:val="00CB154D"/>
    <w:rsid w:val="00CB27B3"/>
    <w:rsid w:val="00CB3102"/>
    <w:rsid w:val="00CB487D"/>
    <w:rsid w:val="00CB4B3F"/>
    <w:rsid w:val="00CB506B"/>
    <w:rsid w:val="00CC0FFD"/>
    <w:rsid w:val="00CC18A5"/>
    <w:rsid w:val="00CC1B1F"/>
    <w:rsid w:val="00CC2AD8"/>
    <w:rsid w:val="00CC3CCD"/>
    <w:rsid w:val="00CC4B53"/>
    <w:rsid w:val="00CC5931"/>
    <w:rsid w:val="00CC6A77"/>
    <w:rsid w:val="00CD3BDC"/>
    <w:rsid w:val="00CE0657"/>
    <w:rsid w:val="00CE0A83"/>
    <w:rsid w:val="00CE0CB8"/>
    <w:rsid w:val="00CE26A9"/>
    <w:rsid w:val="00CE665B"/>
    <w:rsid w:val="00CF1505"/>
    <w:rsid w:val="00CF2FDE"/>
    <w:rsid w:val="00CF35AE"/>
    <w:rsid w:val="00CF3FC0"/>
    <w:rsid w:val="00CF63F6"/>
    <w:rsid w:val="00D014C3"/>
    <w:rsid w:val="00D02C53"/>
    <w:rsid w:val="00D04F75"/>
    <w:rsid w:val="00D061C2"/>
    <w:rsid w:val="00D0658C"/>
    <w:rsid w:val="00D06ADA"/>
    <w:rsid w:val="00D072D8"/>
    <w:rsid w:val="00D1067B"/>
    <w:rsid w:val="00D1315F"/>
    <w:rsid w:val="00D14C98"/>
    <w:rsid w:val="00D1C584"/>
    <w:rsid w:val="00D2096D"/>
    <w:rsid w:val="00D24284"/>
    <w:rsid w:val="00D30BFB"/>
    <w:rsid w:val="00D318B0"/>
    <w:rsid w:val="00D328F2"/>
    <w:rsid w:val="00D33FDE"/>
    <w:rsid w:val="00D35A0A"/>
    <w:rsid w:val="00D369F5"/>
    <w:rsid w:val="00D42C6A"/>
    <w:rsid w:val="00D43F25"/>
    <w:rsid w:val="00D44150"/>
    <w:rsid w:val="00D4453A"/>
    <w:rsid w:val="00D45112"/>
    <w:rsid w:val="00D528E8"/>
    <w:rsid w:val="00D52917"/>
    <w:rsid w:val="00D5328E"/>
    <w:rsid w:val="00D53924"/>
    <w:rsid w:val="00D55974"/>
    <w:rsid w:val="00D56E6F"/>
    <w:rsid w:val="00D575CF"/>
    <w:rsid w:val="00D57804"/>
    <w:rsid w:val="00D60715"/>
    <w:rsid w:val="00D612BF"/>
    <w:rsid w:val="00D639B7"/>
    <w:rsid w:val="00D642CC"/>
    <w:rsid w:val="00D65403"/>
    <w:rsid w:val="00D6609E"/>
    <w:rsid w:val="00D66BDA"/>
    <w:rsid w:val="00D67893"/>
    <w:rsid w:val="00D7259D"/>
    <w:rsid w:val="00D83AAF"/>
    <w:rsid w:val="00D840CF"/>
    <w:rsid w:val="00D8465B"/>
    <w:rsid w:val="00D85441"/>
    <w:rsid w:val="00D8550E"/>
    <w:rsid w:val="00D86482"/>
    <w:rsid w:val="00D90766"/>
    <w:rsid w:val="00D96E24"/>
    <w:rsid w:val="00D97CC5"/>
    <w:rsid w:val="00DA0799"/>
    <w:rsid w:val="00DA0EFA"/>
    <w:rsid w:val="00DA1C2D"/>
    <w:rsid w:val="00DA4D63"/>
    <w:rsid w:val="00DB05F0"/>
    <w:rsid w:val="00DB29B4"/>
    <w:rsid w:val="00DB4265"/>
    <w:rsid w:val="00DB5588"/>
    <w:rsid w:val="00DB7156"/>
    <w:rsid w:val="00DB750F"/>
    <w:rsid w:val="00DC0368"/>
    <w:rsid w:val="00DC14E1"/>
    <w:rsid w:val="00DC18A0"/>
    <w:rsid w:val="00DC1EDA"/>
    <w:rsid w:val="00DC26E7"/>
    <w:rsid w:val="00DC4039"/>
    <w:rsid w:val="00DC62E0"/>
    <w:rsid w:val="00DC74C5"/>
    <w:rsid w:val="00DD1D6F"/>
    <w:rsid w:val="00DD2383"/>
    <w:rsid w:val="00DD2691"/>
    <w:rsid w:val="00DD2990"/>
    <w:rsid w:val="00DD36EA"/>
    <w:rsid w:val="00DD38FD"/>
    <w:rsid w:val="00DD617D"/>
    <w:rsid w:val="00DD739F"/>
    <w:rsid w:val="00DE0B02"/>
    <w:rsid w:val="00DE138F"/>
    <w:rsid w:val="00DE3586"/>
    <w:rsid w:val="00DF075F"/>
    <w:rsid w:val="00DF1269"/>
    <w:rsid w:val="00DF1515"/>
    <w:rsid w:val="00DF1D34"/>
    <w:rsid w:val="00DF2542"/>
    <w:rsid w:val="00DF702C"/>
    <w:rsid w:val="00E001DF"/>
    <w:rsid w:val="00E01322"/>
    <w:rsid w:val="00E03C4E"/>
    <w:rsid w:val="00E0459E"/>
    <w:rsid w:val="00E048B2"/>
    <w:rsid w:val="00E0524C"/>
    <w:rsid w:val="00E10F9A"/>
    <w:rsid w:val="00E120B4"/>
    <w:rsid w:val="00E13220"/>
    <w:rsid w:val="00E15857"/>
    <w:rsid w:val="00E15F90"/>
    <w:rsid w:val="00E1657B"/>
    <w:rsid w:val="00E17409"/>
    <w:rsid w:val="00E17D58"/>
    <w:rsid w:val="00E245F3"/>
    <w:rsid w:val="00E24808"/>
    <w:rsid w:val="00E2602E"/>
    <w:rsid w:val="00E26855"/>
    <w:rsid w:val="00E3119D"/>
    <w:rsid w:val="00E3152B"/>
    <w:rsid w:val="00E332F3"/>
    <w:rsid w:val="00E33667"/>
    <w:rsid w:val="00E34242"/>
    <w:rsid w:val="00E34998"/>
    <w:rsid w:val="00E34D3F"/>
    <w:rsid w:val="00E362B7"/>
    <w:rsid w:val="00E36F3E"/>
    <w:rsid w:val="00E37C27"/>
    <w:rsid w:val="00E426C3"/>
    <w:rsid w:val="00E42F93"/>
    <w:rsid w:val="00E44C7F"/>
    <w:rsid w:val="00E46296"/>
    <w:rsid w:val="00E4659B"/>
    <w:rsid w:val="00E477BD"/>
    <w:rsid w:val="00E51734"/>
    <w:rsid w:val="00E52AD0"/>
    <w:rsid w:val="00E55F61"/>
    <w:rsid w:val="00E655C9"/>
    <w:rsid w:val="00E66D76"/>
    <w:rsid w:val="00E67DCD"/>
    <w:rsid w:val="00E7097B"/>
    <w:rsid w:val="00E70D67"/>
    <w:rsid w:val="00E719E8"/>
    <w:rsid w:val="00E71D84"/>
    <w:rsid w:val="00E75F45"/>
    <w:rsid w:val="00E77AF7"/>
    <w:rsid w:val="00E81AC0"/>
    <w:rsid w:val="00E81BB6"/>
    <w:rsid w:val="00E83DFF"/>
    <w:rsid w:val="00E8573A"/>
    <w:rsid w:val="00E90B3C"/>
    <w:rsid w:val="00E9119A"/>
    <w:rsid w:val="00E91E84"/>
    <w:rsid w:val="00E943BD"/>
    <w:rsid w:val="00EA03BB"/>
    <w:rsid w:val="00EA1162"/>
    <w:rsid w:val="00EA1625"/>
    <w:rsid w:val="00EA2920"/>
    <w:rsid w:val="00EA2F8E"/>
    <w:rsid w:val="00EA3B6D"/>
    <w:rsid w:val="00EA4D40"/>
    <w:rsid w:val="00EA5F1D"/>
    <w:rsid w:val="00EA6A14"/>
    <w:rsid w:val="00EA6E13"/>
    <w:rsid w:val="00EA7458"/>
    <w:rsid w:val="00EB22A7"/>
    <w:rsid w:val="00EB3138"/>
    <w:rsid w:val="00EB3916"/>
    <w:rsid w:val="00EB51A7"/>
    <w:rsid w:val="00EC07FC"/>
    <w:rsid w:val="00EC0A72"/>
    <w:rsid w:val="00EC0BF1"/>
    <w:rsid w:val="00EC1B34"/>
    <w:rsid w:val="00EC2EA0"/>
    <w:rsid w:val="00EC4F7E"/>
    <w:rsid w:val="00EC6892"/>
    <w:rsid w:val="00ED53E8"/>
    <w:rsid w:val="00ED6655"/>
    <w:rsid w:val="00EE2503"/>
    <w:rsid w:val="00EE2E56"/>
    <w:rsid w:val="00EE5BD2"/>
    <w:rsid w:val="00EE626D"/>
    <w:rsid w:val="00EE6C49"/>
    <w:rsid w:val="00EF2929"/>
    <w:rsid w:val="00EF3628"/>
    <w:rsid w:val="00EF4A4F"/>
    <w:rsid w:val="00EF4E4F"/>
    <w:rsid w:val="00EF6321"/>
    <w:rsid w:val="00F02603"/>
    <w:rsid w:val="00F05021"/>
    <w:rsid w:val="00F07F6E"/>
    <w:rsid w:val="00F110C6"/>
    <w:rsid w:val="00F1127F"/>
    <w:rsid w:val="00F13DE6"/>
    <w:rsid w:val="00F151AB"/>
    <w:rsid w:val="00F21DC8"/>
    <w:rsid w:val="00F22DB5"/>
    <w:rsid w:val="00F23713"/>
    <w:rsid w:val="00F24B33"/>
    <w:rsid w:val="00F25220"/>
    <w:rsid w:val="00F253A4"/>
    <w:rsid w:val="00F277BB"/>
    <w:rsid w:val="00F301C4"/>
    <w:rsid w:val="00F3311A"/>
    <w:rsid w:val="00F34373"/>
    <w:rsid w:val="00F34650"/>
    <w:rsid w:val="00F34F25"/>
    <w:rsid w:val="00F34F88"/>
    <w:rsid w:val="00F3557A"/>
    <w:rsid w:val="00F37195"/>
    <w:rsid w:val="00F40459"/>
    <w:rsid w:val="00F46906"/>
    <w:rsid w:val="00F50F9A"/>
    <w:rsid w:val="00F527CC"/>
    <w:rsid w:val="00F602C6"/>
    <w:rsid w:val="00F612C5"/>
    <w:rsid w:val="00F63714"/>
    <w:rsid w:val="00F63C52"/>
    <w:rsid w:val="00F64DB3"/>
    <w:rsid w:val="00F656FE"/>
    <w:rsid w:val="00F6756A"/>
    <w:rsid w:val="00F738AC"/>
    <w:rsid w:val="00F75B10"/>
    <w:rsid w:val="00F77DC1"/>
    <w:rsid w:val="00F8345E"/>
    <w:rsid w:val="00F86931"/>
    <w:rsid w:val="00F87A63"/>
    <w:rsid w:val="00F903C4"/>
    <w:rsid w:val="00F90F48"/>
    <w:rsid w:val="00F922AB"/>
    <w:rsid w:val="00F92579"/>
    <w:rsid w:val="00F9287D"/>
    <w:rsid w:val="00F95F35"/>
    <w:rsid w:val="00F96313"/>
    <w:rsid w:val="00F96AB6"/>
    <w:rsid w:val="00FA3D5E"/>
    <w:rsid w:val="00FA4331"/>
    <w:rsid w:val="00FA4EE9"/>
    <w:rsid w:val="00FA6C97"/>
    <w:rsid w:val="00FA6F40"/>
    <w:rsid w:val="00FB00EB"/>
    <w:rsid w:val="00FB17CA"/>
    <w:rsid w:val="00FB18D3"/>
    <w:rsid w:val="00FB2518"/>
    <w:rsid w:val="00FB4A42"/>
    <w:rsid w:val="00FB4D40"/>
    <w:rsid w:val="00FB610D"/>
    <w:rsid w:val="00FC0219"/>
    <w:rsid w:val="00FC4E32"/>
    <w:rsid w:val="00FC5540"/>
    <w:rsid w:val="00FD1D2C"/>
    <w:rsid w:val="00FD3B47"/>
    <w:rsid w:val="00FD4536"/>
    <w:rsid w:val="00FD47A0"/>
    <w:rsid w:val="00FD7D0C"/>
    <w:rsid w:val="00FE008D"/>
    <w:rsid w:val="00FE32B8"/>
    <w:rsid w:val="00FE3DA8"/>
    <w:rsid w:val="00FE45BE"/>
    <w:rsid w:val="00FE492E"/>
    <w:rsid w:val="00FE5F46"/>
    <w:rsid w:val="00FE62D5"/>
    <w:rsid w:val="00FF04B4"/>
    <w:rsid w:val="00FF09E5"/>
    <w:rsid w:val="00FF1A57"/>
    <w:rsid w:val="00FF240F"/>
    <w:rsid w:val="00FF2CD3"/>
    <w:rsid w:val="00FF57B2"/>
    <w:rsid w:val="00FF696B"/>
    <w:rsid w:val="00FF77D6"/>
    <w:rsid w:val="011C4060"/>
    <w:rsid w:val="0236F341"/>
    <w:rsid w:val="0271A1B4"/>
    <w:rsid w:val="02AB0822"/>
    <w:rsid w:val="032E7D18"/>
    <w:rsid w:val="037FFCAC"/>
    <w:rsid w:val="049B4484"/>
    <w:rsid w:val="05F98777"/>
    <w:rsid w:val="05F994FC"/>
    <w:rsid w:val="067DDF6F"/>
    <w:rsid w:val="06829F88"/>
    <w:rsid w:val="07307CA9"/>
    <w:rsid w:val="07BC8C88"/>
    <w:rsid w:val="07D69363"/>
    <w:rsid w:val="07DAB974"/>
    <w:rsid w:val="09750B76"/>
    <w:rsid w:val="09FA15D0"/>
    <w:rsid w:val="0A160E6A"/>
    <w:rsid w:val="0ADCBBC2"/>
    <w:rsid w:val="0B391688"/>
    <w:rsid w:val="0B3E0895"/>
    <w:rsid w:val="0B9318E8"/>
    <w:rsid w:val="0BE1DA9B"/>
    <w:rsid w:val="0C70AEFA"/>
    <w:rsid w:val="0C9BD80D"/>
    <w:rsid w:val="0D04F819"/>
    <w:rsid w:val="0E18ED4D"/>
    <w:rsid w:val="10110A98"/>
    <w:rsid w:val="10623738"/>
    <w:rsid w:val="1078ECF8"/>
    <w:rsid w:val="10AA83EA"/>
    <w:rsid w:val="10AE4989"/>
    <w:rsid w:val="12517A46"/>
    <w:rsid w:val="127BB0FA"/>
    <w:rsid w:val="13A40D59"/>
    <w:rsid w:val="13C06B3E"/>
    <w:rsid w:val="13F1309A"/>
    <w:rsid w:val="1419D3F0"/>
    <w:rsid w:val="1501C838"/>
    <w:rsid w:val="157E875A"/>
    <w:rsid w:val="16720F00"/>
    <w:rsid w:val="1711F24F"/>
    <w:rsid w:val="180A5C10"/>
    <w:rsid w:val="1831DF11"/>
    <w:rsid w:val="18DC059E"/>
    <w:rsid w:val="190D5AB8"/>
    <w:rsid w:val="192242E4"/>
    <w:rsid w:val="1930098B"/>
    <w:rsid w:val="1939E2E8"/>
    <w:rsid w:val="19946686"/>
    <w:rsid w:val="1A298C47"/>
    <w:rsid w:val="1B272DD9"/>
    <w:rsid w:val="1B302F18"/>
    <w:rsid w:val="1BCB537D"/>
    <w:rsid w:val="1C19DA0A"/>
    <w:rsid w:val="1CA9698E"/>
    <w:rsid w:val="1CF43E54"/>
    <w:rsid w:val="1CFF3A6E"/>
    <w:rsid w:val="1F1AF37A"/>
    <w:rsid w:val="20B72B20"/>
    <w:rsid w:val="20DED7F7"/>
    <w:rsid w:val="20FED102"/>
    <w:rsid w:val="212AA8AA"/>
    <w:rsid w:val="249213B8"/>
    <w:rsid w:val="24C3BCA7"/>
    <w:rsid w:val="24C9FD1A"/>
    <w:rsid w:val="250837EB"/>
    <w:rsid w:val="26CB9B47"/>
    <w:rsid w:val="26D1037F"/>
    <w:rsid w:val="27106CF5"/>
    <w:rsid w:val="280829DC"/>
    <w:rsid w:val="284DE5DD"/>
    <w:rsid w:val="28D5D0E2"/>
    <w:rsid w:val="299CA462"/>
    <w:rsid w:val="29A5D865"/>
    <w:rsid w:val="29F01044"/>
    <w:rsid w:val="2A4A3657"/>
    <w:rsid w:val="2B575884"/>
    <w:rsid w:val="2BA63A2A"/>
    <w:rsid w:val="2C872C30"/>
    <w:rsid w:val="2C89B7A5"/>
    <w:rsid w:val="2CDA8DB0"/>
    <w:rsid w:val="2D3C7185"/>
    <w:rsid w:val="2E0BBE2B"/>
    <w:rsid w:val="2F6A760D"/>
    <w:rsid w:val="2F793AA6"/>
    <w:rsid w:val="3014B244"/>
    <w:rsid w:val="30B2CE50"/>
    <w:rsid w:val="30CB6FF7"/>
    <w:rsid w:val="31099100"/>
    <w:rsid w:val="31244159"/>
    <w:rsid w:val="31B27507"/>
    <w:rsid w:val="32803D71"/>
    <w:rsid w:val="337B309A"/>
    <w:rsid w:val="3504EB23"/>
    <w:rsid w:val="353C409A"/>
    <w:rsid w:val="364C292E"/>
    <w:rsid w:val="36871702"/>
    <w:rsid w:val="36889D2A"/>
    <w:rsid w:val="3758D924"/>
    <w:rsid w:val="37C386EB"/>
    <w:rsid w:val="3859D2D5"/>
    <w:rsid w:val="396E3DDA"/>
    <w:rsid w:val="3A204201"/>
    <w:rsid w:val="3AD77320"/>
    <w:rsid w:val="3B757CD1"/>
    <w:rsid w:val="3BCE1699"/>
    <w:rsid w:val="3BE26ABE"/>
    <w:rsid w:val="3CCF0DBE"/>
    <w:rsid w:val="3D25CA1D"/>
    <w:rsid w:val="3DAE21A6"/>
    <w:rsid w:val="3DDEB8FE"/>
    <w:rsid w:val="3E6E6088"/>
    <w:rsid w:val="3E987124"/>
    <w:rsid w:val="3FEB9C67"/>
    <w:rsid w:val="410BE724"/>
    <w:rsid w:val="41C7FCDB"/>
    <w:rsid w:val="4208C3CD"/>
    <w:rsid w:val="4381D61E"/>
    <w:rsid w:val="439A3003"/>
    <w:rsid w:val="44978DD8"/>
    <w:rsid w:val="44D2E9C2"/>
    <w:rsid w:val="452212AB"/>
    <w:rsid w:val="457E4B74"/>
    <w:rsid w:val="45C5E822"/>
    <w:rsid w:val="46777858"/>
    <w:rsid w:val="46992EF2"/>
    <w:rsid w:val="475ED2AE"/>
    <w:rsid w:val="476E4085"/>
    <w:rsid w:val="47F83FC3"/>
    <w:rsid w:val="48335D7C"/>
    <w:rsid w:val="485FE083"/>
    <w:rsid w:val="48C2FD87"/>
    <w:rsid w:val="48CAA48E"/>
    <w:rsid w:val="4931BCDA"/>
    <w:rsid w:val="4988474C"/>
    <w:rsid w:val="4A486F90"/>
    <w:rsid w:val="4A535B8A"/>
    <w:rsid w:val="4AAC4426"/>
    <w:rsid w:val="4CB5D8E0"/>
    <w:rsid w:val="4D019579"/>
    <w:rsid w:val="4D306045"/>
    <w:rsid w:val="4E8ADAAC"/>
    <w:rsid w:val="50A34AA3"/>
    <w:rsid w:val="50AB120B"/>
    <w:rsid w:val="516088E6"/>
    <w:rsid w:val="5177FC17"/>
    <w:rsid w:val="51862713"/>
    <w:rsid w:val="518BDEF2"/>
    <w:rsid w:val="5284526C"/>
    <w:rsid w:val="52CBF5FD"/>
    <w:rsid w:val="53C5E40E"/>
    <w:rsid w:val="53FD1BFA"/>
    <w:rsid w:val="54727198"/>
    <w:rsid w:val="5489A632"/>
    <w:rsid w:val="55CB89CA"/>
    <w:rsid w:val="56C46E1E"/>
    <w:rsid w:val="57559AE1"/>
    <w:rsid w:val="57FD2289"/>
    <w:rsid w:val="58630C91"/>
    <w:rsid w:val="58DB55EC"/>
    <w:rsid w:val="58DBC2D1"/>
    <w:rsid w:val="58F32D59"/>
    <w:rsid w:val="5959BF68"/>
    <w:rsid w:val="5A3119D0"/>
    <w:rsid w:val="5A3CBCC3"/>
    <w:rsid w:val="5ABBA411"/>
    <w:rsid w:val="5ACF6B96"/>
    <w:rsid w:val="5AE1E6CA"/>
    <w:rsid w:val="5AFD7978"/>
    <w:rsid w:val="5B58CE8C"/>
    <w:rsid w:val="5B979B3D"/>
    <w:rsid w:val="5CA748F5"/>
    <w:rsid w:val="5DAB11D3"/>
    <w:rsid w:val="5E1E2931"/>
    <w:rsid w:val="5E486E73"/>
    <w:rsid w:val="5E6FDB38"/>
    <w:rsid w:val="5F0B6EAA"/>
    <w:rsid w:val="60134507"/>
    <w:rsid w:val="60C27ED4"/>
    <w:rsid w:val="6119AFDA"/>
    <w:rsid w:val="61EF32DF"/>
    <w:rsid w:val="62A16D48"/>
    <w:rsid w:val="632F0D4B"/>
    <w:rsid w:val="63738D19"/>
    <w:rsid w:val="64523CEE"/>
    <w:rsid w:val="64804338"/>
    <w:rsid w:val="64BACF88"/>
    <w:rsid w:val="64F9DE78"/>
    <w:rsid w:val="6592B72F"/>
    <w:rsid w:val="65A6AD9E"/>
    <w:rsid w:val="65B8E25D"/>
    <w:rsid w:val="6618D56A"/>
    <w:rsid w:val="6684E65A"/>
    <w:rsid w:val="66A1A836"/>
    <w:rsid w:val="66B8119E"/>
    <w:rsid w:val="66D89B9E"/>
    <w:rsid w:val="66DB32B8"/>
    <w:rsid w:val="673EDB4F"/>
    <w:rsid w:val="682DB9B5"/>
    <w:rsid w:val="683C8ED3"/>
    <w:rsid w:val="688EFD19"/>
    <w:rsid w:val="693DC1F0"/>
    <w:rsid w:val="697BA82F"/>
    <w:rsid w:val="6A5781B4"/>
    <w:rsid w:val="6A8072F1"/>
    <w:rsid w:val="6C732DD6"/>
    <w:rsid w:val="6CC52E60"/>
    <w:rsid w:val="6CCC76E2"/>
    <w:rsid w:val="6CE72575"/>
    <w:rsid w:val="6D668C6B"/>
    <w:rsid w:val="6E10AF14"/>
    <w:rsid w:val="6E3098EB"/>
    <w:rsid w:val="6F5466FE"/>
    <w:rsid w:val="6F988D62"/>
    <w:rsid w:val="6F9AEAE6"/>
    <w:rsid w:val="700ABEC5"/>
    <w:rsid w:val="703E8787"/>
    <w:rsid w:val="706FE0B9"/>
    <w:rsid w:val="710FAC46"/>
    <w:rsid w:val="71581B3E"/>
    <w:rsid w:val="717FF9E2"/>
    <w:rsid w:val="71E41DA2"/>
    <w:rsid w:val="73351E39"/>
    <w:rsid w:val="735B312E"/>
    <w:rsid w:val="73C2D2B7"/>
    <w:rsid w:val="73D48F25"/>
    <w:rsid w:val="7420E15E"/>
    <w:rsid w:val="745F7BED"/>
    <w:rsid w:val="75B1A722"/>
    <w:rsid w:val="75BA6CD6"/>
    <w:rsid w:val="768C65D3"/>
    <w:rsid w:val="76CB1210"/>
    <w:rsid w:val="76DEBA6E"/>
    <w:rsid w:val="772F39BC"/>
    <w:rsid w:val="775B3069"/>
    <w:rsid w:val="7764685D"/>
    <w:rsid w:val="77CB58FE"/>
    <w:rsid w:val="798C13D9"/>
    <w:rsid w:val="799002B2"/>
    <w:rsid w:val="799AE00A"/>
    <w:rsid w:val="79CDB6FF"/>
    <w:rsid w:val="79CDD9D3"/>
    <w:rsid w:val="7A787436"/>
    <w:rsid w:val="7B35FE80"/>
    <w:rsid w:val="7B8DE702"/>
    <w:rsid w:val="7C33F6C3"/>
    <w:rsid w:val="7C541091"/>
    <w:rsid w:val="7C564CD2"/>
    <w:rsid w:val="7CC76EFE"/>
    <w:rsid w:val="7D057B1A"/>
    <w:rsid w:val="7E7760A0"/>
    <w:rsid w:val="7F3FD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43A83"/>
  <w15:chartTrackingRefBased/>
  <w15:docId w15:val="{C565B999-D3B3-4479-B8D1-317C0F84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before="120" w:after="24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qFormat="1"/>
    <w:lsdException w:name="Salutation" w:semiHidden="1" w:unhideWhenUsed="1"/>
    <w:lsdException w:name="Date" w:semiHidden="1" w:uiPriority="2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462"/>
    <w:pPr>
      <w:spacing w:before="0" w:line="264" w:lineRule="auto"/>
    </w:pPr>
    <w:rPr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DA8"/>
    <w:pPr>
      <w:keepNext/>
      <w:keepLines/>
      <w:numPr>
        <w:numId w:val="6"/>
      </w:numPr>
      <w:spacing w:before="240" w:after="600" w:line="240" w:lineRule="auto"/>
      <w:outlineLvl w:val="0"/>
    </w:pPr>
    <w:rPr>
      <w:rFonts w:asciiTheme="majorHAnsi" w:eastAsiaTheme="majorEastAsia" w:hAnsiTheme="majorHAnsi" w:cs="Arial"/>
      <w:bCs/>
      <w:noProof/>
      <w:color w:val="000000" w:themeColor="text1"/>
      <w:sz w:val="32"/>
      <w:szCs w:val="30"/>
    </w:rPr>
  </w:style>
  <w:style w:type="paragraph" w:styleId="Heading2">
    <w:name w:val="heading 2"/>
    <w:basedOn w:val="Normal"/>
    <w:next w:val="Normal"/>
    <w:link w:val="Heading2Char"/>
    <w:uiPriority w:val="9"/>
    <w:qFormat/>
    <w:rsid w:val="00FE3DA8"/>
    <w:pPr>
      <w:keepNext/>
      <w:keepLines/>
      <w:numPr>
        <w:ilvl w:val="1"/>
        <w:numId w:val="6"/>
      </w:numPr>
      <w:spacing w:before="240" w:line="240" w:lineRule="auto"/>
      <w:outlineLvl w:val="1"/>
    </w:pPr>
    <w:rPr>
      <w:rFonts w:asciiTheme="majorHAnsi" w:eastAsiaTheme="majorEastAsia" w:hAnsiTheme="majorHAnsi" w:cs="Arial"/>
      <w:bCs/>
      <w:noProof/>
    </w:rPr>
  </w:style>
  <w:style w:type="paragraph" w:styleId="Heading3">
    <w:name w:val="heading 3"/>
    <w:basedOn w:val="Normal"/>
    <w:next w:val="Normal"/>
    <w:link w:val="Heading3Char"/>
    <w:uiPriority w:val="9"/>
    <w:qFormat/>
    <w:rsid w:val="007A450B"/>
    <w:pPr>
      <w:keepNext/>
      <w:keepLines/>
      <w:numPr>
        <w:ilvl w:val="2"/>
        <w:numId w:val="6"/>
      </w:numPr>
      <w:spacing w:after="0"/>
      <w:outlineLvl w:val="2"/>
    </w:pPr>
    <w:rPr>
      <w:rFonts w:asciiTheme="majorHAnsi" w:eastAsiaTheme="majorEastAsia" w:hAnsiTheme="majorHAnsi" w:cs="Arial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44609B"/>
    <w:pPr>
      <w:keepNext/>
      <w:keepLines/>
      <w:spacing w:after="0"/>
      <w:outlineLvl w:val="3"/>
    </w:pPr>
    <w:rPr>
      <w:rFonts w:asciiTheme="majorHAnsi" w:eastAsiaTheme="majorEastAsia" w:hAnsiTheme="majorHAnsi" w:cs="Arial"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FE3DA8"/>
    <w:pPr>
      <w:keepNext/>
      <w:keepLines/>
      <w:numPr>
        <w:ilvl w:val="4"/>
        <w:numId w:val="6"/>
      </w:numPr>
      <w:spacing w:before="40" w:after="0"/>
      <w:outlineLvl w:val="4"/>
    </w:pPr>
    <w:rPr>
      <w:rFonts w:eastAsiaTheme="majorEastAsia" w:cs="Arial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FE3DA8"/>
    <w:pPr>
      <w:keepNext/>
      <w:keepLines/>
      <w:numPr>
        <w:ilvl w:val="5"/>
        <w:numId w:val="6"/>
      </w:numPr>
      <w:spacing w:before="40" w:after="0"/>
      <w:outlineLvl w:val="5"/>
    </w:pPr>
    <w:rPr>
      <w:rFonts w:eastAsiaTheme="majorEastAsia" w:cs="Arial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FE3DA8"/>
    <w:pPr>
      <w:keepNext/>
      <w:keepLines/>
      <w:numPr>
        <w:ilvl w:val="6"/>
        <w:numId w:val="6"/>
      </w:numPr>
      <w:spacing w:before="40" w:after="0"/>
      <w:outlineLvl w:val="6"/>
    </w:pPr>
    <w:rPr>
      <w:rFonts w:eastAsiaTheme="majorEastAsia" w:cs="Arial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E3DA8"/>
    <w:pPr>
      <w:keepNext/>
      <w:keepLines/>
      <w:numPr>
        <w:ilvl w:val="7"/>
        <w:numId w:val="6"/>
      </w:numPr>
      <w:spacing w:before="40" w:after="0"/>
      <w:outlineLvl w:val="7"/>
    </w:pPr>
    <w:rPr>
      <w:rFonts w:eastAsiaTheme="majorEastAsia" w:cs="Arial"/>
      <w:color w:val="000000" w:themeColor="tex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E3DA8"/>
    <w:pPr>
      <w:keepNext/>
      <w:keepLines/>
      <w:numPr>
        <w:ilvl w:val="8"/>
        <w:numId w:val="6"/>
      </w:numPr>
      <w:spacing w:before="40" w:after="0"/>
      <w:outlineLvl w:val="8"/>
    </w:pPr>
    <w:rPr>
      <w:rFonts w:eastAsiaTheme="majorEastAsia" w:cs="Arial"/>
      <w:i/>
      <w:iCs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B00EB"/>
    <w:pPr>
      <w:tabs>
        <w:tab w:val="center" w:pos="4513"/>
        <w:tab w:val="right" w:pos="9026"/>
      </w:tabs>
      <w:spacing w:after="22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B00EB"/>
    <w:rPr>
      <w:sz w:val="16"/>
      <w:lang w:val="en-US"/>
    </w:rPr>
  </w:style>
  <w:style w:type="paragraph" w:styleId="Footer">
    <w:name w:val="footer"/>
    <w:basedOn w:val="Normal"/>
    <w:link w:val="FooterChar"/>
    <w:uiPriority w:val="99"/>
    <w:rsid w:val="005A6EC5"/>
    <w:pPr>
      <w:tabs>
        <w:tab w:val="right" w:pos="9638"/>
      </w:tabs>
      <w:spacing w:after="0" w:line="240" w:lineRule="auto"/>
    </w:pPr>
    <w:rPr>
      <w:color w:val="323232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A6EC5"/>
    <w:rPr>
      <w:color w:val="323232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5A6EC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semiHidden/>
    <w:qFormat/>
    <w:rsid w:val="005945F4"/>
    <w:pPr>
      <w:spacing w:after="0" w:line="180" w:lineRule="atLeast"/>
    </w:pPr>
    <w:rPr>
      <w:noProof/>
      <w:sz w:val="15"/>
    </w:rPr>
  </w:style>
  <w:style w:type="paragraph" w:customStyle="1" w:styleId="Ourref">
    <w:name w:val="Our ref"/>
    <w:basedOn w:val="Normal"/>
    <w:uiPriority w:val="1"/>
    <w:semiHidden/>
    <w:rsid w:val="005945F4"/>
    <w:pPr>
      <w:spacing w:after="520"/>
    </w:pPr>
  </w:style>
  <w:style w:type="paragraph" w:styleId="Date">
    <w:name w:val="Date"/>
    <w:basedOn w:val="Normal"/>
    <w:next w:val="Normal"/>
    <w:link w:val="DateChar"/>
    <w:uiPriority w:val="2"/>
    <w:semiHidden/>
    <w:rsid w:val="005945F4"/>
    <w:pPr>
      <w:spacing w:before="520" w:after="520"/>
    </w:pPr>
  </w:style>
  <w:style w:type="character" w:customStyle="1" w:styleId="DateChar">
    <w:name w:val="Date Char"/>
    <w:basedOn w:val="DefaultParagraphFont"/>
    <w:link w:val="Date"/>
    <w:uiPriority w:val="2"/>
    <w:semiHidden/>
    <w:rsid w:val="005945F4"/>
    <w:rPr>
      <w:lang w:val="en-US"/>
    </w:rPr>
  </w:style>
  <w:style w:type="paragraph" w:customStyle="1" w:styleId="RecipientAddress">
    <w:name w:val="Recipient Address"/>
    <w:basedOn w:val="Normal"/>
    <w:semiHidden/>
    <w:qFormat/>
    <w:rsid w:val="005945F4"/>
    <w:pPr>
      <w:spacing w:after="0"/>
    </w:pPr>
  </w:style>
  <w:style w:type="paragraph" w:customStyle="1" w:styleId="Author">
    <w:name w:val="Author"/>
    <w:basedOn w:val="Normal"/>
    <w:next w:val="Normal"/>
    <w:uiPriority w:val="7"/>
    <w:semiHidden/>
    <w:qFormat/>
    <w:rsid w:val="005945F4"/>
    <w:pPr>
      <w:keepNext/>
      <w:keepLines/>
      <w:spacing w:after="0" w:line="276" w:lineRule="auto"/>
    </w:pPr>
    <w:rPr>
      <w:szCs w:val="20"/>
    </w:rPr>
  </w:style>
  <w:style w:type="table" w:customStyle="1" w:styleId="GlobalFund">
    <w:name w:val="Global Fund"/>
    <w:basedOn w:val="TableNormal"/>
    <w:uiPriority w:val="99"/>
    <w:rsid w:val="00DB4265"/>
    <w:pPr>
      <w:spacing w:before="0" w:after="0" w:line="240" w:lineRule="auto"/>
    </w:pPr>
    <w:rPr>
      <w:rFonts w:asciiTheme="minorHAnsi" w:hAnsiTheme="minorHAnsi"/>
      <w:color w:val="000000" w:themeColor="text1"/>
    </w:rPr>
    <w:tblPr>
      <w:tblStyleRowBandSize w:val="1"/>
      <w:tblCellMar>
        <w:left w:w="0" w:type="dxa"/>
      </w:tblCellMar>
    </w:tblPr>
    <w:tcPr>
      <w:vAlign w:val="center"/>
    </w:tc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auto"/>
        <w:sz w:val="22"/>
      </w:rPr>
      <w:tblPr/>
      <w:tcPr>
        <w:tcBorders>
          <w:bottom w:val="single" w:sz="6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color w:val="000000" w:themeColor="text1"/>
      </w:rPr>
      <w:tblPr/>
      <w:tcPr>
        <w:tcBorders>
          <w:top w:val="single" w:sz="6" w:space="0" w:color="262626" w:themeColor="text1" w:themeTint="D9"/>
          <w:left w:val="nil"/>
          <w:bottom w:val="single" w:sz="6" w:space="0" w:color="262626" w:themeColor="text1" w:themeTint="D9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jc w:val="left"/>
      </w:pPr>
      <w:rPr>
        <w:color w:val="404040" w:themeColor="text1" w:themeTint="BF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jc w:val="left"/>
      </w:pPr>
      <w:rPr>
        <w:color w:val="595959" w:themeColor="text1" w:themeTint="A6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07164"/>
    <w:rPr>
      <w:rFonts w:asciiTheme="majorHAnsi" w:eastAsiaTheme="majorEastAsia" w:hAnsiTheme="majorHAnsi" w:cs="Arial"/>
      <w:bCs/>
      <w:noProof/>
      <w:color w:val="000000" w:themeColor="text1"/>
      <w:sz w:val="32"/>
      <w:szCs w:val="3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07164"/>
    <w:rPr>
      <w:rFonts w:asciiTheme="majorHAnsi" w:eastAsiaTheme="majorEastAsia" w:hAnsiTheme="majorHAnsi" w:cs="Arial"/>
      <w:bCs/>
      <w:noProof/>
      <w:sz w:val="24"/>
      <w:lang w:val="en-US"/>
    </w:rPr>
  </w:style>
  <w:style w:type="paragraph" w:customStyle="1" w:styleId="NormalNoSpace">
    <w:name w:val="NormalNoSpace"/>
    <w:basedOn w:val="Normal"/>
    <w:next w:val="Normal"/>
    <w:qFormat/>
    <w:rsid w:val="00985B1B"/>
    <w:pPr>
      <w:spacing w:after="0"/>
    </w:pPr>
  </w:style>
  <w:style w:type="paragraph" w:customStyle="1" w:styleId="Note">
    <w:name w:val="Note"/>
    <w:basedOn w:val="Normal"/>
    <w:uiPriority w:val="29"/>
    <w:qFormat/>
    <w:rsid w:val="005A6EC5"/>
    <w:pPr>
      <w:spacing w:line="220" w:lineRule="atLeast"/>
    </w:pPr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6EC5"/>
    <w:pPr>
      <w:spacing w:after="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6EC5"/>
    <w:rPr>
      <w:sz w:val="16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A6EC5"/>
    <w:rPr>
      <w:vertAlign w:val="superscript"/>
      <w:lang w:val="en-US"/>
    </w:rPr>
  </w:style>
  <w:style w:type="paragraph" w:styleId="NoSpacing">
    <w:name w:val="No Spacing"/>
    <w:uiPriority w:val="14"/>
    <w:qFormat/>
    <w:rsid w:val="005A6EC5"/>
    <w:pPr>
      <w:spacing w:before="0" w:after="0" w:line="240" w:lineRule="auto"/>
    </w:pPr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A6EC5"/>
    <w:pPr>
      <w:spacing w:after="0" w:line="240" w:lineRule="auto"/>
    </w:pPr>
    <w:rPr>
      <w:sz w:val="16"/>
      <w:szCs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A6EC5"/>
    <w:rPr>
      <w:sz w:val="16"/>
      <w:szCs w:val="16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A6EC5"/>
    <w:rPr>
      <w:vertAlign w:val="superscript"/>
      <w:lang w:val="en-US"/>
    </w:rPr>
  </w:style>
  <w:style w:type="table" w:customStyle="1" w:styleId="GlobalFund1">
    <w:name w:val="Global Fund 1"/>
    <w:basedOn w:val="GlobalFund"/>
    <w:uiPriority w:val="99"/>
    <w:rsid w:val="00362590"/>
    <w:rPr>
      <w:color w:val="404040" w:themeColor="text1" w:themeTint="BF"/>
    </w:rPr>
    <w:tblPr>
      <w:tblCellMar>
        <w:top w:w="108" w:type="dxa"/>
        <w:bottom w:w="108" w:type="dxa"/>
      </w:tblCellMar>
    </w:tblPr>
    <w:tblStylePr w:type="firstRow">
      <w:pPr>
        <w:wordWrap/>
        <w:jc w:val="left"/>
      </w:pPr>
      <w:rPr>
        <w:rFonts w:asciiTheme="majorHAnsi" w:hAnsiTheme="majorHAnsi"/>
        <w:b w:val="0"/>
        <w:i w:val="0"/>
        <w:caps w:val="0"/>
        <w:smallCaps w:val="0"/>
        <w:color w:val="404040" w:themeColor="text1" w:themeTint="BF"/>
        <w:sz w:val="22"/>
      </w:rPr>
      <w:tblPr/>
      <w:tcPr>
        <w:tcBorders>
          <w:bottom w:val="single" w:sz="6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color w:val="000000" w:themeColor="text1"/>
      </w:rPr>
      <w:tblPr/>
      <w:tcPr>
        <w:tcBorders>
          <w:top w:val="single" w:sz="6" w:space="0" w:color="000000" w:themeColor="text1"/>
          <w:left w:val="nil"/>
          <w:bottom w:val="single" w:sz="6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jc w:val="left"/>
      </w:pPr>
      <w:rPr>
        <w:color w:val="404040" w:themeColor="text1" w:themeTint="BF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jc w:val="left"/>
      </w:pPr>
      <w:rPr>
        <w:color w:val="404040" w:themeColor="text1" w:themeTint="BF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railer">
    <w:name w:val="TableTrailer"/>
    <w:basedOn w:val="Normal"/>
    <w:next w:val="Normal"/>
    <w:uiPriority w:val="15"/>
    <w:rsid w:val="005A6EC5"/>
    <w:pPr>
      <w:spacing w:after="0" w:line="240" w:lineRule="auto"/>
    </w:pPr>
    <w:rPr>
      <w:noProof/>
      <w:sz w:val="2"/>
    </w:rPr>
  </w:style>
  <w:style w:type="character" w:styleId="PlaceholderText">
    <w:name w:val="Placeholder Text"/>
    <w:basedOn w:val="DefaultParagraphFont"/>
    <w:uiPriority w:val="99"/>
    <w:semiHidden/>
    <w:rsid w:val="005A6EC5"/>
    <w:rPr>
      <w:color w:val="808080"/>
      <w:lang w:val="en-US"/>
    </w:rPr>
  </w:style>
  <w:style w:type="paragraph" w:customStyle="1" w:styleId="AddressTopLine">
    <w:name w:val="AddressTopLine"/>
    <w:basedOn w:val="Address"/>
    <w:semiHidden/>
    <w:qFormat/>
    <w:rsid w:val="005945F4"/>
    <w:pPr>
      <w:spacing w:after="180"/>
      <w:contextualSpacing/>
    </w:pPr>
  </w:style>
  <w:style w:type="paragraph" w:customStyle="1" w:styleId="AddressTopLineSmall">
    <w:name w:val="AddressTopLineSmall"/>
    <w:basedOn w:val="AddressTopLine"/>
    <w:semiHidden/>
    <w:qFormat/>
    <w:rsid w:val="005945F4"/>
    <w:pPr>
      <w:spacing w:line="140" w:lineRule="atLeast"/>
    </w:pPr>
    <w:rPr>
      <w:sz w:val="12"/>
    </w:rPr>
  </w:style>
  <w:style w:type="paragraph" w:customStyle="1" w:styleId="AddressSmall">
    <w:name w:val="AddressSmall"/>
    <w:basedOn w:val="Address"/>
    <w:semiHidden/>
    <w:qFormat/>
    <w:rsid w:val="005945F4"/>
    <w:pPr>
      <w:spacing w:line="140" w:lineRule="atLeast"/>
    </w:pPr>
    <w:rPr>
      <w:sz w:val="12"/>
    </w:rPr>
  </w:style>
  <w:style w:type="paragraph" w:customStyle="1" w:styleId="Tiny">
    <w:name w:val="Tiny"/>
    <w:basedOn w:val="Normal"/>
    <w:uiPriority w:val="15"/>
    <w:semiHidden/>
    <w:qFormat/>
    <w:rsid w:val="005A6EC5"/>
    <w:pPr>
      <w:spacing w:after="0" w:line="240" w:lineRule="auto"/>
    </w:pPr>
    <w:rPr>
      <w:sz w:val="2"/>
    </w:rPr>
  </w:style>
  <w:style w:type="paragraph" w:styleId="Title">
    <w:name w:val="Title"/>
    <w:basedOn w:val="Normal"/>
    <w:next w:val="Subtitle"/>
    <w:link w:val="TitleChar"/>
    <w:uiPriority w:val="10"/>
    <w:qFormat/>
    <w:rsid w:val="00557654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60"/>
      <w:szCs w:val="48"/>
    </w:rPr>
  </w:style>
  <w:style w:type="character" w:customStyle="1" w:styleId="TitleChar">
    <w:name w:val="Title Char"/>
    <w:basedOn w:val="DefaultParagraphFont"/>
    <w:link w:val="Title"/>
    <w:uiPriority w:val="8"/>
    <w:rsid w:val="00557654"/>
    <w:rPr>
      <w:rFonts w:asciiTheme="majorHAnsi" w:eastAsiaTheme="majorEastAsia" w:hAnsiTheme="majorHAnsi" w:cstheme="majorBidi"/>
      <w:kern w:val="28"/>
      <w:sz w:val="60"/>
      <w:szCs w:val="48"/>
      <w:lang w:val="en-US"/>
    </w:rPr>
  </w:style>
  <w:style w:type="paragraph" w:styleId="Subtitle">
    <w:name w:val="Subtitle"/>
    <w:basedOn w:val="Normal"/>
    <w:next w:val="Normal"/>
    <w:link w:val="SubtitleChar"/>
    <w:uiPriority w:val="8"/>
    <w:qFormat/>
    <w:rsid w:val="00557654"/>
    <w:pPr>
      <w:numPr>
        <w:ilvl w:val="1"/>
      </w:numPr>
      <w:spacing w:after="0" w:line="240" w:lineRule="auto"/>
    </w:pPr>
    <w:rPr>
      <w:rFonts w:eastAsiaTheme="minorEastAsia"/>
      <w:color w:val="000000" w:themeColor="text1"/>
      <w:sz w:val="60"/>
      <w:szCs w:val="36"/>
    </w:rPr>
  </w:style>
  <w:style w:type="character" w:customStyle="1" w:styleId="SubtitleChar">
    <w:name w:val="Subtitle Char"/>
    <w:basedOn w:val="DefaultParagraphFont"/>
    <w:link w:val="Subtitle"/>
    <w:uiPriority w:val="8"/>
    <w:rsid w:val="00557654"/>
    <w:rPr>
      <w:rFonts w:eastAsiaTheme="minorEastAsia"/>
      <w:color w:val="000000" w:themeColor="text1"/>
      <w:sz w:val="60"/>
      <w:szCs w:val="36"/>
      <w:lang w:val="en-US"/>
    </w:rPr>
  </w:style>
  <w:style w:type="paragraph" w:customStyle="1" w:styleId="Bullet1">
    <w:name w:val="Bullet 1"/>
    <w:basedOn w:val="Normal"/>
    <w:uiPriority w:val="2"/>
    <w:qFormat/>
    <w:rsid w:val="00985B1B"/>
    <w:pPr>
      <w:numPr>
        <w:numId w:val="18"/>
      </w:numPr>
      <w:spacing w:before="120" w:after="120"/>
      <w:contextualSpacing/>
      <w:jc w:val="both"/>
    </w:pPr>
    <w:rPr>
      <w:szCs w:val="20"/>
    </w:rPr>
  </w:style>
  <w:style w:type="paragraph" w:customStyle="1" w:styleId="Bullet2">
    <w:name w:val="Bullet 2"/>
    <w:basedOn w:val="Bullet1"/>
    <w:uiPriority w:val="2"/>
    <w:qFormat/>
    <w:rsid w:val="00557654"/>
    <w:pPr>
      <w:numPr>
        <w:ilvl w:val="1"/>
      </w:numPr>
    </w:pPr>
  </w:style>
  <w:style w:type="numbering" w:customStyle="1" w:styleId="NumbLstBullet">
    <w:name w:val="NumbLstBullet"/>
    <w:uiPriority w:val="99"/>
    <w:rsid w:val="001100A4"/>
    <w:pPr>
      <w:numPr>
        <w:numId w:val="18"/>
      </w:numPr>
    </w:pPr>
  </w:style>
  <w:style w:type="paragraph" w:customStyle="1" w:styleId="AlphaList1">
    <w:name w:val="AlphaList 1"/>
    <w:basedOn w:val="Normal"/>
    <w:uiPriority w:val="1"/>
    <w:qFormat/>
    <w:rsid w:val="00985B1B"/>
    <w:pPr>
      <w:numPr>
        <w:numId w:val="17"/>
      </w:numPr>
      <w:spacing w:after="120"/>
      <w:contextualSpacing/>
      <w:jc w:val="both"/>
    </w:pPr>
    <w:rPr>
      <w:szCs w:val="20"/>
    </w:rPr>
  </w:style>
  <w:style w:type="paragraph" w:customStyle="1" w:styleId="AlphaList2">
    <w:name w:val="AlphaList 2"/>
    <w:basedOn w:val="Normal"/>
    <w:uiPriority w:val="1"/>
    <w:qFormat/>
    <w:rsid w:val="00607164"/>
    <w:pPr>
      <w:numPr>
        <w:ilvl w:val="1"/>
        <w:numId w:val="17"/>
      </w:numPr>
      <w:spacing w:after="120"/>
      <w:contextualSpacing/>
      <w:jc w:val="both"/>
    </w:pPr>
    <w:rPr>
      <w:szCs w:val="20"/>
    </w:rPr>
  </w:style>
  <w:style w:type="numbering" w:customStyle="1" w:styleId="NumbListAlpha">
    <w:name w:val="NumbListAlpha"/>
    <w:uiPriority w:val="99"/>
    <w:rsid w:val="005A6EC5"/>
    <w:pPr>
      <w:numPr>
        <w:numId w:val="17"/>
      </w:numPr>
    </w:pPr>
  </w:style>
  <w:style w:type="paragraph" w:customStyle="1" w:styleId="Bullet3">
    <w:name w:val="Bullet 3"/>
    <w:basedOn w:val="Bullet2"/>
    <w:uiPriority w:val="2"/>
    <w:rsid w:val="001100A4"/>
    <w:pPr>
      <w:numPr>
        <w:ilvl w:val="2"/>
      </w:numPr>
      <w:jc w:val="left"/>
    </w:pPr>
  </w:style>
  <w:style w:type="numbering" w:customStyle="1" w:styleId="NumHeadingsLst">
    <w:name w:val="NumHeadingsLst"/>
    <w:uiPriority w:val="99"/>
    <w:rsid w:val="005945F4"/>
    <w:pPr>
      <w:numPr>
        <w:numId w:val="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072DA3"/>
    <w:pPr>
      <w:spacing w:before="240"/>
      <w:ind w:left="567"/>
    </w:pPr>
    <w:rPr>
      <w:iCs/>
      <w:noProof/>
      <w:color w:val="A6A6A6" w:themeColor="background1" w:themeShade="A6"/>
    </w:rPr>
  </w:style>
  <w:style w:type="character" w:customStyle="1" w:styleId="QuoteChar">
    <w:name w:val="Quote Char"/>
    <w:basedOn w:val="DefaultParagraphFont"/>
    <w:link w:val="Quote"/>
    <w:uiPriority w:val="29"/>
    <w:rsid w:val="00072DA3"/>
    <w:rPr>
      <w:iCs/>
      <w:noProof/>
      <w:color w:val="A6A6A6" w:themeColor="background1" w:themeShade="A6"/>
      <w:sz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F2CD3"/>
    <w:pPr>
      <w:pBdr>
        <w:top w:val="single" w:sz="4" w:space="1" w:color="auto"/>
      </w:pBdr>
      <w:tabs>
        <w:tab w:val="left" w:pos="660"/>
        <w:tab w:val="right" w:pos="9639"/>
      </w:tabs>
      <w:spacing w:before="240" w:after="0"/>
      <w:ind w:left="658" w:right="284" w:hanging="658"/>
    </w:pPr>
    <w:rPr>
      <w:rFonts w:asciiTheme="majorHAnsi" w:hAnsiTheme="majorHAnsi"/>
      <w:noProof/>
      <w:sz w:val="32"/>
      <w:szCs w:val="36"/>
    </w:rPr>
  </w:style>
  <w:style w:type="paragraph" w:styleId="TOC2">
    <w:name w:val="toc 2"/>
    <w:basedOn w:val="Normal"/>
    <w:next w:val="Normal"/>
    <w:autoRedefine/>
    <w:uiPriority w:val="39"/>
    <w:unhideWhenUsed/>
    <w:rsid w:val="00FF2CD3"/>
    <w:pPr>
      <w:tabs>
        <w:tab w:val="left" w:pos="658"/>
        <w:tab w:val="right" w:pos="9639"/>
      </w:tabs>
      <w:spacing w:before="120" w:after="0"/>
      <w:ind w:left="658" w:right="284" w:hanging="658"/>
      <w:contextualSpacing/>
    </w:pPr>
    <w:rPr>
      <w:sz w:val="32"/>
    </w:rPr>
  </w:style>
  <w:style w:type="character" w:styleId="Hyperlink">
    <w:name w:val="Hyperlink"/>
    <w:basedOn w:val="DefaultParagraphFont"/>
    <w:uiPriority w:val="99"/>
    <w:unhideWhenUsed/>
    <w:rsid w:val="005A6EC5"/>
    <w:rPr>
      <w:color w:val="2E4DF9" w:themeColor="hyperlink"/>
      <w:u w:val="single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FF2CD3"/>
    <w:pPr>
      <w:tabs>
        <w:tab w:val="left" w:pos="658"/>
        <w:tab w:val="right" w:pos="9639"/>
      </w:tabs>
      <w:spacing w:after="0"/>
      <w:ind w:left="658" w:right="284" w:hanging="658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A6EC5"/>
    <w:pPr>
      <w:spacing w:after="100"/>
      <w:ind w:left="660"/>
    </w:pPr>
  </w:style>
  <w:style w:type="paragraph" w:customStyle="1" w:styleId="Heading1NonNumbNoTOC">
    <w:name w:val="Heading 1 Non Numb No TOC"/>
    <w:basedOn w:val="Normal"/>
    <w:next w:val="Normal"/>
    <w:uiPriority w:val="10"/>
    <w:unhideWhenUsed/>
    <w:qFormat/>
    <w:rsid w:val="009710A7"/>
    <w:pPr>
      <w:keepNext/>
      <w:pageBreakBefore/>
      <w:spacing w:before="260" w:after="1000" w:line="420" w:lineRule="atLeast"/>
    </w:pPr>
    <w:rPr>
      <w:rFonts w:asciiTheme="majorHAnsi" w:hAnsiTheme="majorHAnsi" w:cs="Arial"/>
      <w:sz w:val="32"/>
      <w:szCs w:val="36"/>
    </w:rPr>
  </w:style>
  <w:style w:type="paragraph" w:customStyle="1" w:styleId="CoverDate">
    <w:name w:val="Cover Date"/>
    <w:basedOn w:val="Subtitle"/>
    <w:uiPriority w:val="8"/>
    <w:qFormat/>
    <w:rsid w:val="008E37CF"/>
  </w:style>
  <w:style w:type="paragraph" w:styleId="BalloonText">
    <w:name w:val="Balloon Text"/>
    <w:basedOn w:val="Normal"/>
    <w:link w:val="BalloonTextChar"/>
    <w:uiPriority w:val="99"/>
    <w:semiHidden/>
    <w:unhideWhenUsed/>
    <w:rsid w:val="005A6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EC5"/>
    <w:rPr>
      <w:rFonts w:ascii="Segoe UI" w:hAnsi="Segoe UI" w:cs="Segoe UI"/>
      <w:sz w:val="18"/>
      <w:szCs w:val="18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DB4265"/>
    <w:pPr>
      <w:spacing w:after="120"/>
      <w:ind w:left="397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B4265"/>
    <w:rPr>
      <w:sz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B4265"/>
    <w:pPr>
      <w:spacing w:after="120" w:line="480" w:lineRule="auto"/>
      <w:ind w:left="794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B4265"/>
    <w:rPr>
      <w:sz w:val="24"/>
      <w:lang w:val="en-US"/>
    </w:rPr>
  </w:style>
  <w:style w:type="paragraph" w:customStyle="1" w:styleId="HeaderHidden">
    <w:name w:val="HeaderHidden"/>
    <w:basedOn w:val="Header"/>
    <w:uiPriority w:val="5"/>
    <w:qFormat/>
    <w:rsid w:val="005945F4"/>
    <w:rPr>
      <w:color w:val="939393" w:themeColor="text2"/>
    </w:rPr>
  </w:style>
  <w:style w:type="character" w:customStyle="1" w:styleId="Heading3Char">
    <w:name w:val="Heading 3 Char"/>
    <w:basedOn w:val="DefaultParagraphFont"/>
    <w:link w:val="Heading3"/>
    <w:uiPriority w:val="9"/>
    <w:rsid w:val="007A450B"/>
    <w:rPr>
      <w:rFonts w:asciiTheme="majorHAnsi" w:eastAsiaTheme="majorEastAsia" w:hAnsiTheme="majorHAnsi" w:cs="Arial"/>
      <w:color w:val="000000" w:themeColor="tex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44609B"/>
    <w:rPr>
      <w:rFonts w:asciiTheme="majorHAnsi" w:eastAsiaTheme="majorEastAsia" w:hAnsiTheme="majorHAnsi" w:cs="Arial"/>
      <w:iCs/>
      <w:color w:val="000000" w:themeColor="text1"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B70"/>
    <w:rPr>
      <w:rFonts w:eastAsiaTheme="majorEastAsia" w:cs="Arial"/>
      <w:color w:val="000000" w:themeColor="text1"/>
      <w:sz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B70"/>
    <w:rPr>
      <w:rFonts w:eastAsiaTheme="majorEastAsia" w:cs="Arial"/>
      <w:color w:val="000000" w:themeColor="text1"/>
      <w:sz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B70"/>
    <w:rPr>
      <w:rFonts w:eastAsiaTheme="majorEastAsia" w:cs="Arial"/>
      <w:i/>
      <w:iCs/>
      <w:color w:val="000000" w:themeColor="text1"/>
      <w:sz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B70"/>
    <w:rPr>
      <w:rFonts w:eastAsiaTheme="majorEastAsia" w:cs="Arial"/>
      <w:color w:val="000000" w:themeColor="text1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B70"/>
    <w:rPr>
      <w:rFonts w:eastAsiaTheme="majorEastAsia" w:cs="Arial"/>
      <w:i/>
      <w:iCs/>
      <w:color w:val="000000" w:themeColor="text1"/>
      <w:sz w:val="21"/>
      <w:szCs w:val="21"/>
      <w:lang w:val="en-US"/>
    </w:rPr>
  </w:style>
  <w:style w:type="numbering" w:styleId="111111">
    <w:name w:val="Outline List 2"/>
    <w:basedOn w:val="NoList"/>
    <w:uiPriority w:val="99"/>
    <w:semiHidden/>
    <w:unhideWhenUsed/>
    <w:rsid w:val="005945F4"/>
    <w:pPr>
      <w:numPr>
        <w:numId w:val="2"/>
      </w:numPr>
    </w:pPr>
  </w:style>
  <w:style w:type="numbering" w:styleId="1ai">
    <w:name w:val="Outline List 1"/>
    <w:basedOn w:val="NoList"/>
    <w:uiPriority w:val="99"/>
    <w:semiHidden/>
    <w:unhideWhenUsed/>
    <w:rsid w:val="005945F4"/>
    <w:pPr>
      <w:numPr>
        <w:numId w:val="3"/>
      </w:numPr>
    </w:pPr>
  </w:style>
  <w:style w:type="numbering" w:styleId="ArticleSection">
    <w:name w:val="Outline List 3"/>
    <w:basedOn w:val="NoList"/>
    <w:uiPriority w:val="99"/>
    <w:semiHidden/>
    <w:unhideWhenUsed/>
    <w:rsid w:val="00FE3DA8"/>
    <w:pPr>
      <w:numPr>
        <w:numId w:val="55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5A6EC5"/>
  </w:style>
  <w:style w:type="paragraph" w:styleId="BlockText">
    <w:name w:val="Block Text"/>
    <w:basedOn w:val="Normal"/>
    <w:uiPriority w:val="99"/>
    <w:semiHidden/>
    <w:unhideWhenUsed/>
    <w:rsid w:val="005A6EC5"/>
    <w:pPr>
      <w:pBdr>
        <w:top w:val="single" w:sz="2" w:space="10" w:color="EE0C3D" w:themeColor="accent1" w:frame="1"/>
        <w:left w:val="single" w:sz="2" w:space="10" w:color="EE0C3D" w:themeColor="accent1" w:frame="1"/>
        <w:bottom w:val="single" w:sz="2" w:space="10" w:color="EE0C3D" w:themeColor="accent1" w:frame="1"/>
        <w:right w:val="single" w:sz="2" w:space="10" w:color="EE0C3D" w:themeColor="accent1" w:frame="1"/>
      </w:pBdr>
      <w:ind w:left="1152" w:right="1152"/>
    </w:pPr>
    <w:rPr>
      <w:rFonts w:eastAsiaTheme="minorEastAsia" w:cs="Arial"/>
      <w:i/>
      <w:iCs/>
      <w:color w:val="EE0C3D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5A6E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A6EC5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A6E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A6EC5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A6EC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A6EC5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A6EC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A6EC5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A6EC5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A6EC5"/>
    <w:rPr>
      <w:sz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A6EC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A6EC5"/>
    <w:rPr>
      <w:sz w:val="16"/>
      <w:szCs w:val="16"/>
      <w:lang w:val="en-US"/>
    </w:rPr>
  </w:style>
  <w:style w:type="character" w:styleId="BookTitle">
    <w:name w:val="Book Title"/>
    <w:basedOn w:val="DefaultParagraphFont"/>
    <w:uiPriority w:val="33"/>
    <w:qFormat/>
    <w:rsid w:val="005A6EC5"/>
    <w:rPr>
      <w:b/>
      <w:bCs/>
      <w:i/>
      <w:iC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6EC5"/>
    <w:pPr>
      <w:spacing w:after="200" w:line="240" w:lineRule="auto"/>
    </w:pPr>
    <w:rPr>
      <w:i/>
      <w:iCs/>
      <w:color w:val="939393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A6EC5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A6EC5"/>
    <w:rPr>
      <w:lang w:val="en-US"/>
    </w:rPr>
  </w:style>
  <w:style w:type="table" w:styleId="ColorfulGrid">
    <w:name w:val="Colorful Grid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CDD7" w:themeFill="accent1" w:themeFillTint="33"/>
    </w:tcPr>
    <w:tblStylePr w:type="firstRow">
      <w:rPr>
        <w:b/>
        <w:bCs/>
      </w:rPr>
      <w:tblPr/>
      <w:tcPr>
        <w:shd w:val="clear" w:color="auto" w:fill="FA9BB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9BB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2092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2092D" w:themeFill="accent1" w:themeFillShade="BF"/>
      </w:tcPr>
    </w:tblStylePr>
    <w:tblStylePr w:type="band1Vert">
      <w:tblPr/>
      <w:tcPr>
        <w:shd w:val="clear" w:color="auto" w:fill="F8839C" w:themeFill="accent1" w:themeFillTint="7F"/>
      </w:tcPr>
    </w:tblStylePr>
    <w:tblStylePr w:type="band1Horz">
      <w:tblPr/>
      <w:tcPr>
        <w:shd w:val="clear" w:color="auto" w:fill="F8839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DBFD" w:themeFill="accent2" w:themeFillTint="33"/>
    </w:tcPr>
    <w:tblStylePr w:type="firstRow">
      <w:rPr>
        <w:b/>
        <w:bCs/>
      </w:rPr>
      <w:tblPr/>
      <w:tcPr>
        <w:shd w:val="clear" w:color="auto" w:fill="ABB7F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B7F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625D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625D6" w:themeFill="accent2" w:themeFillShade="BF"/>
      </w:tcPr>
    </w:tblStylePr>
    <w:tblStylePr w:type="band1Vert">
      <w:tblPr/>
      <w:tcPr>
        <w:shd w:val="clear" w:color="auto" w:fill="96A5FC" w:themeFill="accent2" w:themeFillTint="7F"/>
      </w:tcPr>
    </w:tblStylePr>
    <w:tblStylePr w:type="band1Horz">
      <w:tblPr/>
      <w:tcPr>
        <w:shd w:val="clear" w:color="auto" w:fill="96A5F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9CA" w:themeFill="accent3" w:themeFillTint="33"/>
    </w:tcPr>
    <w:tblStylePr w:type="firstRow">
      <w:rPr>
        <w:b/>
        <w:bCs/>
      </w:rPr>
      <w:tblPr/>
      <w:tcPr>
        <w:shd w:val="clear" w:color="auto" w:fill="FFF4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4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A5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A500" w:themeFill="accent3" w:themeFillShade="BF"/>
      </w:tcPr>
    </w:tblStylePr>
    <w:tblStylePr w:type="band1Vert">
      <w:tblPr/>
      <w:tcPr>
        <w:shd w:val="clear" w:color="auto" w:fill="FFF27B" w:themeFill="accent3" w:themeFillTint="7F"/>
      </w:tcPr>
    </w:tblStylePr>
    <w:tblStylePr w:type="band1Horz">
      <w:tblPr/>
      <w:tcPr>
        <w:shd w:val="clear" w:color="auto" w:fill="FFF27B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4D6" w:themeFill="accent4" w:themeFillTint="33"/>
    </w:tcPr>
    <w:tblStylePr w:type="firstRow">
      <w:rPr>
        <w:b/>
        <w:bCs/>
      </w:rPr>
      <w:tblPr/>
      <w:tcPr>
        <w:shd w:val="clear" w:color="auto" w:fill="B3EAA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AA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1992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19927" w:themeFill="accent4" w:themeFillShade="BF"/>
      </w:tcPr>
    </w:tblStylePr>
    <w:tblStylePr w:type="band1Vert">
      <w:tblPr/>
      <w:tcPr>
        <w:shd w:val="clear" w:color="auto" w:fill="A1E59A" w:themeFill="accent4" w:themeFillTint="7F"/>
      </w:tcPr>
    </w:tblStylePr>
    <w:tblStylePr w:type="band1Horz">
      <w:tblPr/>
      <w:tcPr>
        <w:shd w:val="clear" w:color="auto" w:fill="A1E59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ACB" w:themeFill="accent5" w:themeFillTint="33"/>
    </w:tcPr>
    <w:tblStylePr w:type="firstRow">
      <w:rPr>
        <w:b/>
        <w:bCs/>
      </w:rPr>
      <w:tblPr/>
      <w:tcPr>
        <w:shd w:val="clear" w:color="auto" w:fill="FFD69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69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C7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C7300" w:themeFill="accent5" w:themeFillShade="BF"/>
      </w:tcPr>
    </w:tblStylePr>
    <w:tblStylePr w:type="band1Vert">
      <w:tblPr/>
      <w:tcPr>
        <w:shd w:val="clear" w:color="auto" w:fill="FFCD7E" w:themeFill="accent5" w:themeFillTint="7F"/>
      </w:tcPr>
    </w:tblStylePr>
    <w:tblStylePr w:type="band1Horz">
      <w:tblPr/>
      <w:tcPr>
        <w:shd w:val="clear" w:color="auto" w:fill="FFCD7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3F6" w:themeFill="accent6" w:themeFillTint="33"/>
    </w:tcPr>
    <w:tblStylePr w:type="firstRow">
      <w:rPr>
        <w:b/>
        <w:bCs/>
      </w:rPr>
      <w:tblPr/>
      <w:tcPr>
        <w:shd w:val="clear" w:color="auto" w:fill="D0A8E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A8E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81E9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81E9D" w:themeFill="accent6" w:themeFillShade="BF"/>
      </w:tcPr>
    </w:tblStylePr>
    <w:tblStylePr w:type="band1Vert">
      <w:tblPr/>
      <w:tcPr>
        <w:shd w:val="clear" w:color="auto" w:fill="C593EA" w:themeFill="accent6" w:themeFillTint="7F"/>
      </w:tcPr>
    </w:tblStylePr>
    <w:tblStylePr w:type="band1Horz">
      <w:tblPr/>
      <w:tcPr>
        <w:shd w:val="clear" w:color="auto" w:fill="C593E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627E5" w:themeFill="accent2" w:themeFillShade="CC"/>
      </w:tcPr>
    </w:tblStylePr>
    <w:tblStylePr w:type="lastRow">
      <w:rPr>
        <w:b/>
        <w:bCs/>
        <w:color w:val="0627E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6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627E5" w:themeFill="accent2" w:themeFillShade="CC"/>
      </w:tcPr>
    </w:tblStylePr>
    <w:tblStylePr w:type="lastRow">
      <w:rPr>
        <w:b/>
        <w:bCs/>
        <w:color w:val="0627E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1CE" w:themeFill="accent1" w:themeFillTint="3F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ED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627E5" w:themeFill="accent2" w:themeFillShade="CC"/>
      </w:tcPr>
    </w:tblStylePr>
    <w:tblStylePr w:type="lastRow">
      <w:rPr>
        <w:b/>
        <w:bCs/>
        <w:color w:val="0627E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2FD" w:themeFill="accent2" w:themeFillTint="3F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C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A429" w:themeFill="accent4" w:themeFillShade="CC"/>
      </w:tcPr>
    </w:tblStylePr>
    <w:tblStylePr w:type="lastRow">
      <w:rPr>
        <w:b/>
        <w:bCs/>
        <w:color w:val="34A4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BD" w:themeFill="accent3" w:themeFillTint="3F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A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B100" w:themeFill="accent3" w:themeFillShade="CC"/>
      </w:tcPr>
    </w:tblStylePr>
    <w:tblStylePr w:type="lastRow">
      <w:rPr>
        <w:b/>
        <w:bCs/>
        <w:color w:val="C4B1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F2CD" w:themeFill="accent4" w:themeFillTint="3F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5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F20A8" w:themeFill="accent6" w:themeFillShade="CC"/>
      </w:tcPr>
    </w:tblStylePr>
    <w:tblStylePr w:type="lastRow">
      <w:rPr>
        <w:b/>
        <w:bCs/>
        <w:color w:val="6F20A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BF" w:themeFill="accent5" w:themeFillTint="3F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9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7B00" w:themeFill="accent5" w:themeFillShade="CC"/>
      </w:tcPr>
    </w:tblStylePr>
    <w:tblStylePr w:type="lastRow">
      <w:rPr>
        <w:b/>
        <w:bCs/>
        <w:color w:val="C97B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9F4" w:themeFill="accent6" w:themeFillTint="3F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E4DF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E4DF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E4DF9" w:themeColor="accent2"/>
        <w:left w:val="single" w:sz="4" w:space="0" w:color="EE0C3D" w:themeColor="accent1"/>
        <w:bottom w:val="single" w:sz="4" w:space="0" w:color="EE0C3D" w:themeColor="accent1"/>
        <w:right w:val="single" w:sz="4" w:space="0" w:color="EE0C3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6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E4DF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072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0724" w:themeColor="accent1" w:themeShade="99"/>
          <w:insideV w:val="nil"/>
        </w:tcBorders>
        <w:shd w:val="clear" w:color="auto" w:fill="8E072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0724" w:themeFill="accent1" w:themeFillShade="99"/>
      </w:tcPr>
    </w:tblStylePr>
    <w:tblStylePr w:type="band1Vert">
      <w:tblPr/>
      <w:tcPr>
        <w:shd w:val="clear" w:color="auto" w:fill="FA9BB0" w:themeFill="accent1" w:themeFillTint="66"/>
      </w:tcPr>
    </w:tblStylePr>
    <w:tblStylePr w:type="band1Horz">
      <w:tblPr/>
      <w:tcPr>
        <w:shd w:val="clear" w:color="auto" w:fill="F8839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E4DF9" w:themeColor="accent2"/>
        <w:left w:val="single" w:sz="4" w:space="0" w:color="2E4DF9" w:themeColor="accent2"/>
        <w:bottom w:val="single" w:sz="4" w:space="0" w:color="2E4DF9" w:themeColor="accent2"/>
        <w:right w:val="single" w:sz="4" w:space="0" w:color="2E4DF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D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E4DF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51DA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51DAC" w:themeColor="accent2" w:themeShade="99"/>
          <w:insideV w:val="nil"/>
        </w:tcBorders>
        <w:shd w:val="clear" w:color="auto" w:fill="051DA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1DAC" w:themeFill="accent2" w:themeFillShade="99"/>
      </w:tcPr>
    </w:tblStylePr>
    <w:tblStylePr w:type="band1Vert">
      <w:tblPr/>
      <w:tcPr>
        <w:shd w:val="clear" w:color="auto" w:fill="ABB7FC" w:themeFill="accent2" w:themeFillTint="66"/>
      </w:tcPr>
    </w:tblStylePr>
    <w:tblStylePr w:type="band1Horz">
      <w:tblPr/>
      <w:tcPr>
        <w:shd w:val="clear" w:color="auto" w:fill="96A5F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CC36" w:themeColor="accent4"/>
        <w:left w:val="single" w:sz="4" w:space="0" w:color="F6DE00" w:themeColor="accent3"/>
        <w:bottom w:val="single" w:sz="4" w:space="0" w:color="F6DE00" w:themeColor="accent3"/>
        <w:right w:val="single" w:sz="4" w:space="0" w:color="F6DE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CC3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84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8400" w:themeColor="accent3" w:themeShade="99"/>
          <w:insideV w:val="nil"/>
        </w:tcBorders>
        <w:shd w:val="clear" w:color="auto" w:fill="9384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8400" w:themeFill="accent3" w:themeFillShade="99"/>
      </w:tcPr>
    </w:tblStylePr>
    <w:tblStylePr w:type="band1Vert">
      <w:tblPr/>
      <w:tcPr>
        <w:shd w:val="clear" w:color="auto" w:fill="FFF495" w:themeFill="accent3" w:themeFillTint="66"/>
      </w:tcPr>
    </w:tblStylePr>
    <w:tblStylePr w:type="band1Horz">
      <w:tblPr/>
      <w:tcPr>
        <w:shd w:val="clear" w:color="auto" w:fill="FFF27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6DE00" w:themeColor="accent3"/>
        <w:left w:val="single" w:sz="4" w:space="0" w:color="44CC36" w:themeColor="accent4"/>
        <w:bottom w:val="single" w:sz="4" w:space="0" w:color="44CC36" w:themeColor="accent4"/>
        <w:right w:val="single" w:sz="4" w:space="0" w:color="44CC3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A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DE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7B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7B1F" w:themeColor="accent4" w:themeShade="99"/>
          <w:insideV w:val="nil"/>
        </w:tcBorders>
        <w:shd w:val="clear" w:color="auto" w:fill="277B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7B1F" w:themeFill="accent4" w:themeFillShade="99"/>
      </w:tcPr>
    </w:tblStylePr>
    <w:tblStylePr w:type="band1Vert">
      <w:tblPr/>
      <w:tcPr>
        <w:shd w:val="clear" w:color="auto" w:fill="B3EAAE" w:themeFill="accent4" w:themeFillTint="66"/>
      </w:tcPr>
    </w:tblStylePr>
    <w:tblStylePr w:type="band1Horz">
      <w:tblPr/>
      <w:tcPr>
        <w:shd w:val="clear" w:color="auto" w:fill="A1E59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C29D3" w:themeColor="accent6"/>
        <w:left w:val="single" w:sz="4" w:space="0" w:color="FC9B00" w:themeColor="accent5"/>
        <w:bottom w:val="single" w:sz="4" w:space="0" w:color="FC9B00" w:themeColor="accent5"/>
        <w:right w:val="single" w:sz="4" w:space="0" w:color="FC9B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C29D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5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5C00" w:themeColor="accent5" w:themeShade="99"/>
          <w:insideV w:val="nil"/>
        </w:tcBorders>
        <w:shd w:val="clear" w:color="auto" w:fill="975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5C00" w:themeFill="accent5" w:themeFillShade="99"/>
      </w:tcPr>
    </w:tblStylePr>
    <w:tblStylePr w:type="band1Vert">
      <w:tblPr/>
      <w:tcPr>
        <w:shd w:val="clear" w:color="auto" w:fill="FFD697" w:themeFill="accent5" w:themeFillTint="66"/>
      </w:tcPr>
    </w:tblStylePr>
    <w:tblStylePr w:type="band1Horz">
      <w:tblPr/>
      <w:tcPr>
        <w:shd w:val="clear" w:color="auto" w:fill="FFCD7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C9B00" w:themeColor="accent5"/>
        <w:left w:val="single" w:sz="4" w:space="0" w:color="8C29D3" w:themeColor="accent6"/>
        <w:bottom w:val="single" w:sz="4" w:space="0" w:color="8C29D3" w:themeColor="accent6"/>
        <w:right w:val="single" w:sz="4" w:space="0" w:color="8C29D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9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9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3187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3187E" w:themeColor="accent6" w:themeShade="99"/>
          <w:insideV w:val="nil"/>
        </w:tcBorders>
        <w:shd w:val="clear" w:color="auto" w:fill="53187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187E" w:themeFill="accent6" w:themeFillShade="99"/>
      </w:tcPr>
    </w:tblStylePr>
    <w:tblStylePr w:type="band1Vert">
      <w:tblPr/>
      <w:tcPr>
        <w:shd w:val="clear" w:color="auto" w:fill="D0A8EE" w:themeFill="accent6" w:themeFillTint="66"/>
      </w:tcPr>
    </w:tblStylePr>
    <w:tblStylePr w:type="band1Horz">
      <w:tblPr/>
      <w:tcPr>
        <w:shd w:val="clear" w:color="auto" w:fill="C593E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A6EC5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5A6E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6EC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EC5"/>
    <w:rPr>
      <w:b/>
      <w:bCs/>
      <w:sz w:val="20"/>
      <w:szCs w:val="20"/>
      <w:lang w:val="en-US"/>
    </w:rPr>
  </w:style>
  <w:style w:type="table" w:styleId="DarkList">
    <w:name w:val="Dark List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0C3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061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2092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2092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092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092D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E4DF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4188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625D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625D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25D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25D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6DE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6E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A5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A5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A5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A5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CC3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661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992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992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992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992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C9B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4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C7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C7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7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73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C29D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146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1E9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1E9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1E9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1E9D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A6EC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A6EC5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A6EC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A6EC5"/>
    <w:rPr>
      <w:lang w:val="en-US"/>
    </w:rPr>
  </w:style>
  <w:style w:type="character" w:styleId="Emphasis">
    <w:name w:val="Emphasis"/>
    <w:basedOn w:val="DefaultParagraphFont"/>
    <w:uiPriority w:val="20"/>
    <w:qFormat/>
    <w:rsid w:val="005A6EC5"/>
    <w:rPr>
      <w:i/>
      <w:iCs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5A6EC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="Arial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A6EC5"/>
    <w:pPr>
      <w:spacing w:after="0" w:line="240" w:lineRule="auto"/>
    </w:pPr>
    <w:rPr>
      <w:rFonts w:eastAsiaTheme="majorEastAsia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A6EC5"/>
    <w:rPr>
      <w:color w:val="2E4DF9" w:themeColor="followedHyperlink"/>
      <w:u w:val="single"/>
      <w:lang w:val="en-US"/>
    </w:rPr>
  </w:style>
  <w:style w:type="table" w:styleId="GridTable1Light">
    <w:name w:val="Grid Table 1 Light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A9BB0" w:themeColor="accent1" w:themeTint="66"/>
        <w:left w:val="single" w:sz="4" w:space="0" w:color="FA9BB0" w:themeColor="accent1" w:themeTint="66"/>
        <w:bottom w:val="single" w:sz="4" w:space="0" w:color="FA9BB0" w:themeColor="accent1" w:themeTint="66"/>
        <w:right w:val="single" w:sz="4" w:space="0" w:color="FA9BB0" w:themeColor="accent1" w:themeTint="66"/>
        <w:insideH w:val="single" w:sz="4" w:space="0" w:color="FA9BB0" w:themeColor="accent1" w:themeTint="66"/>
        <w:insideV w:val="single" w:sz="4" w:space="0" w:color="FA9BB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6A8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6A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ABB7FC" w:themeColor="accent2" w:themeTint="66"/>
        <w:left w:val="single" w:sz="4" w:space="0" w:color="ABB7FC" w:themeColor="accent2" w:themeTint="66"/>
        <w:bottom w:val="single" w:sz="4" w:space="0" w:color="ABB7FC" w:themeColor="accent2" w:themeTint="66"/>
        <w:right w:val="single" w:sz="4" w:space="0" w:color="ABB7FC" w:themeColor="accent2" w:themeTint="66"/>
        <w:insideH w:val="single" w:sz="4" w:space="0" w:color="ABB7FC" w:themeColor="accent2" w:themeTint="66"/>
        <w:insideV w:val="single" w:sz="4" w:space="0" w:color="ABB7F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193F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93F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495" w:themeColor="accent3" w:themeTint="66"/>
        <w:left w:val="single" w:sz="4" w:space="0" w:color="FFF495" w:themeColor="accent3" w:themeTint="66"/>
        <w:bottom w:val="single" w:sz="4" w:space="0" w:color="FFF495" w:themeColor="accent3" w:themeTint="66"/>
        <w:right w:val="single" w:sz="4" w:space="0" w:color="FFF495" w:themeColor="accent3" w:themeTint="66"/>
        <w:insideH w:val="single" w:sz="4" w:space="0" w:color="FFF495" w:themeColor="accent3" w:themeTint="66"/>
        <w:insideV w:val="single" w:sz="4" w:space="0" w:color="FFF4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EF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F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3EAAE" w:themeColor="accent4" w:themeTint="66"/>
        <w:left w:val="single" w:sz="4" w:space="0" w:color="B3EAAE" w:themeColor="accent4" w:themeTint="66"/>
        <w:bottom w:val="single" w:sz="4" w:space="0" w:color="B3EAAE" w:themeColor="accent4" w:themeTint="66"/>
        <w:right w:val="single" w:sz="4" w:space="0" w:color="B3EAAE" w:themeColor="accent4" w:themeTint="66"/>
        <w:insideH w:val="single" w:sz="4" w:space="0" w:color="B3EAAE" w:themeColor="accent4" w:themeTint="66"/>
        <w:insideV w:val="single" w:sz="4" w:space="0" w:color="B3EAA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EE08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E0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D697" w:themeColor="accent5" w:themeTint="66"/>
        <w:left w:val="single" w:sz="4" w:space="0" w:color="FFD697" w:themeColor="accent5" w:themeTint="66"/>
        <w:bottom w:val="single" w:sz="4" w:space="0" w:color="FFD697" w:themeColor="accent5" w:themeTint="66"/>
        <w:right w:val="single" w:sz="4" w:space="0" w:color="FFD697" w:themeColor="accent5" w:themeTint="66"/>
        <w:insideH w:val="single" w:sz="4" w:space="0" w:color="FFD697" w:themeColor="accent5" w:themeTint="66"/>
        <w:insideV w:val="single" w:sz="4" w:space="0" w:color="FFD69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C2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2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D0A8EE" w:themeColor="accent6" w:themeTint="66"/>
        <w:left w:val="single" w:sz="4" w:space="0" w:color="D0A8EE" w:themeColor="accent6" w:themeTint="66"/>
        <w:bottom w:val="single" w:sz="4" w:space="0" w:color="D0A8EE" w:themeColor="accent6" w:themeTint="66"/>
        <w:right w:val="single" w:sz="4" w:space="0" w:color="D0A8EE" w:themeColor="accent6" w:themeTint="66"/>
        <w:insideH w:val="single" w:sz="4" w:space="0" w:color="D0A8EE" w:themeColor="accent6" w:themeTint="66"/>
        <w:insideV w:val="single" w:sz="4" w:space="0" w:color="D0A8E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97DE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7DE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F76A88" w:themeColor="accent1" w:themeTint="99"/>
        <w:bottom w:val="single" w:sz="2" w:space="0" w:color="F76A88" w:themeColor="accent1" w:themeTint="99"/>
        <w:insideH w:val="single" w:sz="2" w:space="0" w:color="F76A88" w:themeColor="accent1" w:themeTint="99"/>
        <w:insideV w:val="single" w:sz="2" w:space="0" w:color="F76A8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6A8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6A8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8193FB" w:themeColor="accent2" w:themeTint="99"/>
        <w:bottom w:val="single" w:sz="2" w:space="0" w:color="8193FB" w:themeColor="accent2" w:themeTint="99"/>
        <w:insideH w:val="single" w:sz="2" w:space="0" w:color="8193FB" w:themeColor="accent2" w:themeTint="99"/>
        <w:insideV w:val="single" w:sz="2" w:space="0" w:color="8193F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93F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93F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FFEF60" w:themeColor="accent3" w:themeTint="99"/>
        <w:bottom w:val="single" w:sz="2" w:space="0" w:color="FFEF60" w:themeColor="accent3" w:themeTint="99"/>
        <w:insideH w:val="single" w:sz="2" w:space="0" w:color="FFEF60" w:themeColor="accent3" w:themeTint="99"/>
        <w:insideV w:val="single" w:sz="2" w:space="0" w:color="FFEF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F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F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8EE086" w:themeColor="accent4" w:themeTint="99"/>
        <w:bottom w:val="single" w:sz="2" w:space="0" w:color="8EE086" w:themeColor="accent4" w:themeTint="99"/>
        <w:insideH w:val="single" w:sz="2" w:space="0" w:color="8EE086" w:themeColor="accent4" w:themeTint="99"/>
        <w:insideV w:val="single" w:sz="2" w:space="0" w:color="8EE08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E08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E08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FFC264" w:themeColor="accent5" w:themeTint="99"/>
        <w:bottom w:val="single" w:sz="2" w:space="0" w:color="FFC264" w:themeColor="accent5" w:themeTint="99"/>
        <w:insideH w:val="single" w:sz="2" w:space="0" w:color="FFC264" w:themeColor="accent5" w:themeTint="99"/>
        <w:insideV w:val="single" w:sz="2" w:space="0" w:color="FFC26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26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26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B97DE5" w:themeColor="accent6" w:themeTint="99"/>
        <w:bottom w:val="single" w:sz="2" w:space="0" w:color="B97DE5" w:themeColor="accent6" w:themeTint="99"/>
        <w:insideH w:val="single" w:sz="2" w:space="0" w:color="B97DE5" w:themeColor="accent6" w:themeTint="99"/>
        <w:insideV w:val="single" w:sz="2" w:space="0" w:color="B97DE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97DE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97DE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GridTable3">
    <w:name w:val="Grid Table 3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76A88" w:themeColor="accent1" w:themeTint="99"/>
        <w:left w:val="single" w:sz="4" w:space="0" w:color="F76A88" w:themeColor="accent1" w:themeTint="99"/>
        <w:bottom w:val="single" w:sz="4" w:space="0" w:color="F76A88" w:themeColor="accent1" w:themeTint="99"/>
        <w:right w:val="single" w:sz="4" w:space="0" w:color="F76A88" w:themeColor="accent1" w:themeTint="99"/>
        <w:insideH w:val="single" w:sz="4" w:space="0" w:color="F76A88" w:themeColor="accent1" w:themeTint="99"/>
        <w:insideV w:val="single" w:sz="4" w:space="0" w:color="F76A8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  <w:tblStylePr w:type="neCell">
      <w:tblPr/>
      <w:tcPr>
        <w:tcBorders>
          <w:bottom w:val="single" w:sz="4" w:space="0" w:color="F76A88" w:themeColor="accent1" w:themeTint="99"/>
        </w:tcBorders>
      </w:tcPr>
    </w:tblStylePr>
    <w:tblStylePr w:type="nwCell">
      <w:tblPr/>
      <w:tcPr>
        <w:tcBorders>
          <w:bottom w:val="single" w:sz="4" w:space="0" w:color="F76A88" w:themeColor="accent1" w:themeTint="99"/>
        </w:tcBorders>
      </w:tcPr>
    </w:tblStylePr>
    <w:tblStylePr w:type="seCell">
      <w:tblPr/>
      <w:tcPr>
        <w:tcBorders>
          <w:top w:val="single" w:sz="4" w:space="0" w:color="F76A88" w:themeColor="accent1" w:themeTint="99"/>
        </w:tcBorders>
      </w:tcPr>
    </w:tblStylePr>
    <w:tblStylePr w:type="swCell">
      <w:tblPr/>
      <w:tcPr>
        <w:tcBorders>
          <w:top w:val="single" w:sz="4" w:space="0" w:color="F76A8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193FB" w:themeColor="accent2" w:themeTint="99"/>
        <w:left w:val="single" w:sz="4" w:space="0" w:color="8193FB" w:themeColor="accent2" w:themeTint="99"/>
        <w:bottom w:val="single" w:sz="4" w:space="0" w:color="8193FB" w:themeColor="accent2" w:themeTint="99"/>
        <w:right w:val="single" w:sz="4" w:space="0" w:color="8193FB" w:themeColor="accent2" w:themeTint="99"/>
        <w:insideH w:val="single" w:sz="4" w:space="0" w:color="8193FB" w:themeColor="accent2" w:themeTint="99"/>
        <w:insideV w:val="single" w:sz="4" w:space="0" w:color="8193F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  <w:tblStylePr w:type="neCell">
      <w:tblPr/>
      <w:tcPr>
        <w:tcBorders>
          <w:bottom w:val="single" w:sz="4" w:space="0" w:color="8193FB" w:themeColor="accent2" w:themeTint="99"/>
        </w:tcBorders>
      </w:tcPr>
    </w:tblStylePr>
    <w:tblStylePr w:type="nwCell">
      <w:tblPr/>
      <w:tcPr>
        <w:tcBorders>
          <w:bottom w:val="single" w:sz="4" w:space="0" w:color="8193FB" w:themeColor="accent2" w:themeTint="99"/>
        </w:tcBorders>
      </w:tcPr>
    </w:tblStylePr>
    <w:tblStylePr w:type="seCell">
      <w:tblPr/>
      <w:tcPr>
        <w:tcBorders>
          <w:top w:val="single" w:sz="4" w:space="0" w:color="8193FB" w:themeColor="accent2" w:themeTint="99"/>
        </w:tcBorders>
      </w:tcPr>
    </w:tblStylePr>
    <w:tblStylePr w:type="swCell">
      <w:tblPr/>
      <w:tcPr>
        <w:tcBorders>
          <w:top w:val="single" w:sz="4" w:space="0" w:color="8193F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EF60" w:themeColor="accent3" w:themeTint="99"/>
        <w:left w:val="single" w:sz="4" w:space="0" w:color="FFEF60" w:themeColor="accent3" w:themeTint="99"/>
        <w:bottom w:val="single" w:sz="4" w:space="0" w:color="FFEF60" w:themeColor="accent3" w:themeTint="99"/>
        <w:right w:val="single" w:sz="4" w:space="0" w:color="FFEF60" w:themeColor="accent3" w:themeTint="99"/>
        <w:insideH w:val="single" w:sz="4" w:space="0" w:color="FFEF60" w:themeColor="accent3" w:themeTint="99"/>
        <w:insideV w:val="single" w:sz="4" w:space="0" w:color="FFEF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  <w:tblStylePr w:type="neCell">
      <w:tblPr/>
      <w:tcPr>
        <w:tcBorders>
          <w:bottom w:val="single" w:sz="4" w:space="0" w:color="FFEF60" w:themeColor="accent3" w:themeTint="99"/>
        </w:tcBorders>
      </w:tcPr>
    </w:tblStylePr>
    <w:tblStylePr w:type="nwCell">
      <w:tblPr/>
      <w:tcPr>
        <w:tcBorders>
          <w:bottom w:val="single" w:sz="4" w:space="0" w:color="FFEF60" w:themeColor="accent3" w:themeTint="99"/>
        </w:tcBorders>
      </w:tcPr>
    </w:tblStylePr>
    <w:tblStylePr w:type="seCell">
      <w:tblPr/>
      <w:tcPr>
        <w:tcBorders>
          <w:top w:val="single" w:sz="4" w:space="0" w:color="FFEF60" w:themeColor="accent3" w:themeTint="99"/>
        </w:tcBorders>
      </w:tcPr>
    </w:tblStylePr>
    <w:tblStylePr w:type="swCell">
      <w:tblPr/>
      <w:tcPr>
        <w:tcBorders>
          <w:top w:val="single" w:sz="4" w:space="0" w:color="FFEF6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EE086" w:themeColor="accent4" w:themeTint="99"/>
        <w:left w:val="single" w:sz="4" w:space="0" w:color="8EE086" w:themeColor="accent4" w:themeTint="99"/>
        <w:bottom w:val="single" w:sz="4" w:space="0" w:color="8EE086" w:themeColor="accent4" w:themeTint="99"/>
        <w:right w:val="single" w:sz="4" w:space="0" w:color="8EE086" w:themeColor="accent4" w:themeTint="99"/>
        <w:insideH w:val="single" w:sz="4" w:space="0" w:color="8EE086" w:themeColor="accent4" w:themeTint="99"/>
        <w:insideV w:val="single" w:sz="4" w:space="0" w:color="8EE08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  <w:tblStylePr w:type="neCell">
      <w:tblPr/>
      <w:tcPr>
        <w:tcBorders>
          <w:bottom w:val="single" w:sz="4" w:space="0" w:color="8EE086" w:themeColor="accent4" w:themeTint="99"/>
        </w:tcBorders>
      </w:tcPr>
    </w:tblStylePr>
    <w:tblStylePr w:type="nwCell">
      <w:tblPr/>
      <w:tcPr>
        <w:tcBorders>
          <w:bottom w:val="single" w:sz="4" w:space="0" w:color="8EE086" w:themeColor="accent4" w:themeTint="99"/>
        </w:tcBorders>
      </w:tcPr>
    </w:tblStylePr>
    <w:tblStylePr w:type="seCell">
      <w:tblPr/>
      <w:tcPr>
        <w:tcBorders>
          <w:top w:val="single" w:sz="4" w:space="0" w:color="8EE086" w:themeColor="accent4" w:themeTint="99"/>
        </w:tcBorders>
      </w:tcPr>
    </w:tblStylePr>
    <w:tblStylePr w:type="swCell">
      <w:tblPr/>
      <w:tcPr>
        <w:tcBorders>
          <w:top w:val="single" w:sz="4" w:space="0" w:color="8EE08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C264" w:themeColor="accent5" w:themeTint="99"/>
        <w:left w:val="single" w:sz="4" w:space="0" w:color="FFC264" w:themeColor="accent5" w:themeTint="99"/>
        <w:bottom w:val="single" w:sz="4" w:space="0" w:color="FFC264" w:themeColor="accent5" w:themeTint="99"/>
        <w:right w:val="single" w:sz="4" w:space="0" w:color="FFC264" w:themeColor="accent5" w:themeTint="99"/>
        <w:insideH w:val="single" w:sz="4" w:space="0" w:color="FFC264" w:themeColor="accent5" w:themeTint="99"/>
        <w:insideV w:val="single" w:sz="4" w:space="0" w:color="FFC26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  <w:tblStylePr w:type="neCell">
      <w:tblPr/>
      <w:tcPr>
        <w:tcBorders>
          <w:bottom w:val="single" w:sz="4" w:space="0" w:color="FFC264" w:themeColor="accent5" w:themeTint="99"/>
        </w:tcBorders>
      </w:tcPr>
    </w:tblStylePr>
    <w:tblStylePr w:type="nwCell">
      <w:tblPr/>
      <w:tcPr>
        <w:tcBorders>
          <w:bottom w:val="single" w:sz="4" w:space="0" w:color="FFC264" w:themeColor="accent5" w:themeTint="99"/>
        </w:tcBorders>
      </w:tcPr>
    </w:tblStylePr>
    <w:tblStylePr w:type="seCell">
      <w:tblPr/>
      <w:tcPr>
        <w:tcBorders>
          <w:top w:val="single" w:sz="4" w:space="0" w:color="FFC264" w:themeColor="accent5" w:themeTint="99"/>
        </w:tcBorders>
      </w:tcPr>
    </w:tblStylePr>
    <w:tblStylePr w:type="swCell">
      <w:tblPr/>
      <w:tcPr>
        <w:tcBorders>
          <w:top w:val="single" w:sz="4" w:space="0" w:color="FFC26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97DE5" w:themeColor="accent6" w:themeTint="99"/>
        <w:left w:val="single" w:sz="4" w:space="0" w:color="B97DE5" w:themeColor="accent6" w:themeTint="99"/>
        <w:bottom w:val="single" w:sz="4" w:space="0" w:color="B97DE5" w:themeColor="accent6" w:themeTint="99"/>
        <w:right w:val="single" w:sz="4" w:space="0" w:color="B97DE5" w:themeColor="accent6" w:themeTint="99"/>
        <w:insideH w:val="single" w:sz="4" w:space="0" w:color="B97DE5" w:themeColor="accent6" w:themeTint="99"/>
        <w:insideV w:val="single" w:sz="4" w:space="0" w:color="B97DE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  <w:tblStylePr w:type="neCell">
      <w:tblPr/>
      <w:tcPr>
        <w:tcBorders>
          <w:bottom w:val="single" w:sz="4" w:space="0" w:color="B97DE5" w:themeColor="accent6" w:themeTint="99"/>
        </w:tcBorders>
      </w:tcPr>
    </w:tblStylePr>
    <w:tblStylePr w:type="nwCell">
      <w:tblPr/>
      <w:tcPr>
        <w:tcBorders>
          <w:bottom w:val="single" w:sz="4" w:space="0" w:color="B97DE5" w:themeColor="accent6" w:themeTint="99"/>
        </w:tcBorders>
      </w:tcPr>
    </w:tblStylePr>
    <w:tblStylePr w:type="seCell">
      <w:tblPr/>
      <w:tcPr>
        <w:tcBorders>
          <w:top w:val="single" w:sz="4" w:space="0" w:color="B97DE5" w:themeColor="accent6" w:themeTint="99"/>
        </w:tcBorders>
      </w:tcPr>
    </w:tblStylePr>
    <w:tblStylePr w:type="swCell">
      <w:tblPr/>
      <w:tcPr>
        <w:tcBorders>
          <w:top w:val="single" w:sz="4" w:space="0" w:color="B97DE5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76A88" w:themeColor="accent1" w:themeTint="99"/>
        <w:left w:val="single" w:sz="4" w:space="0" w:color="F76A88" w:themeColor="accent1" w:themeTint="99"/>
        <w:bottom w:val="single" w:sz="4" w:space="0" w:color="F76A88" w:themeColor="accent1" w:themeTint="99"/>
        <w:right w:val="single" w:sz="4" w:space="0" w:color="F76A88" w:themeColor="accent1" w:themeTint="99"/>
        <w:insideH w:val="single" w:sz="4" w:space="0" w:color="F76A88" w:themeColor="accent1" w:themeTint="99"/>
        <w:insideV w:val="single" w:sz="4" w:space="0" w:color="F76A8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0C3D" w:themeColor="accent1"/>
          <w:left w:val="single" w:sz="4" w:space="0" w:color="EE0C3D" w:themeColor="accent1"/>
          <w:bottom w:val="single" w:sz="4" w:space="0" w:color="EE0C3D" w:themeColor="accent1"/>
          <w:right w:val="single" w:sz="4" w:space="0" w:color="EE0C3D" w:themeColor="accent1"/>
          <w:insideH w:val="nil"/>
          <w:insideV w:val="nil"/>
        </w:tcBorders>
        <w:shd w:val="clear" w:color="auto" w:fill="EE0C3D" w:themeFill="accent1"/>
      </w:tcPr>
    </w:tblStylePr>
    <w:tblStylePr w:type="lastRow">
      <w:rPr>
        <w:b/>
        <w:bCs/>
      </w:rPr>
      <w:tblPr/>
      <w:tcPr>
        <w:tcBorders>
          <w:top w:val="double" w:sz="4" w:space="0" w:color="EE0C3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193FB" w:themeColor="accent2" w:themeTint="99"/>
        <w:left w:val="single" w:sz="4" w:space="0" w:color="8193FB" w:themeColor="accent2" w:themeTint="99"/>
        <w:bottom w:val="single" w:sz="4" w:space="0" w:color="8193FB" w:themeColor="accent2" w:themeTint="99"/>
        <w:right w:val="single" w:sz="4" w:space="0" w:color="8193FB" w:themeColor="accent2" w:themeTint="99"/>
        <w:insideH w:val="single" w:sz="4" w:space="0" w:color="8193FB" w:themeColor="accent2" w:themeTint="99"/>
        <w:insideV w:val="single" w:sz="4" w:space="0" w:color="8193F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4DF9" w:themeColor="accent2"/>
          <w:left w:val="single" w:sz="4" w:space="0" w:color="2E4DF9" w:themeColor="accent2"/>
          <w:bottom w:val="single" w:sz="4" w:space="0" w:color="2E4DF9" w:themeColor="accent2"/>
          <w:right w:val="single" w:sz="4" w:space="0" w:color="2E4DF9" w:themeColor="accent2"/>
          <w:insideH w:val="nil"/>
          <w:insideV w:val="nil"/>
        </w:tcBorders>
        <w:shd w:val="clear" w:color="auto" w:fill="2E4DF9" w:themeFill="accent2"/>
      </w:tcPr>
    </w:tblStylePr>
    <w:tblStylePr w:type="lastRow">
      <w:rPr>
        <w:b/>
        <w:bCs/>
      </w:rPr>
      <w:tblPr/>
      <w:tcPr>
        <w:tcBorders>
          <w:top w:val="double" w:sz="4" w:space="0" w:color="2E4DF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EF60" w:themeColor="accent3" w:themeTint="99"/>
        <w:left w:val="single" w:sz="4" w:space="0" w:color="FFEF60" w:themeColor="accent3" w:themeTint="99"/>
        <w:bottom w:val="single" w:sz="4" w:space="0" w:color="FFEF60" w:themeColor="accent3" w:themeTint="99"/>
        <w:right w:val="single" w:sz="4" w:space="0" w:color="FFEF60" w:themeColor="accent3" w:themeTint="99"/>
        <w:insideH w:val="single" w:sz="4" w:space="0" w:color="FFEF60" w:themeColor="accent3" w:themeTint="99"/>
        <w:insideV w:val="single" w:sz="4" w:space="0" w:color="FFEF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DE00" w:themeColor="accent3"/>
          <w:left w:val="single" w:sz="4" w:space="0" w:color="F6DE00" w:themeColor="accent3"/>
          <w:bottom w:val="single" w:sz="4" w:space="0" w:color="F6DE00" w:themeColor="accent3"/>
          <w:right w:val="single" w:sz="4" w:space="0" w:color="F6DE00" w:themeColor="accent3"/>
          <w:insideH w:val="nil"/>
          <w:insideV w:val="nil"/>
        </w:tcBorders>
        <w:shd w:val="clear" w:color="auto" w:fill="F6DE00" w:themeFill="accent3"/>
      </w:tcPr>
    </w:tblStylePr>
    <w:tblStylePr w:type="lastRow">
      <w:rPr>
        <w:b/>
        <w:bCs/>
      </w:rPr>
      <w:tblPr/>
      <w:tcPr>
        <w:tcBorders>
          <w:top w:val="double" w:sz="4" w:space="0" w:color="F6DE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EE086" w:themeColor="accent4" w:themeTint="99"/>
        <w:left w:val="single" w:sz="4" w:space="0" w:color="8EE086" w:themeColor="accent4" w:themeTint="99"/>
        <w:bottom w:val="single" w:sz="4" w:space="0" w:color="8EE086" w:themeColor="accent4" w:themeTint="99"/>
        <w:right w:val="single" w:sz="4" w:space="0" w:color="8EE086" w:themeColor="accent4" w:themeTint="99"/>
        <w:insideH w:val="single" w:sz="4" w:space="0" w:color="8EE086" w:themeColor="accent4" w:themeTint="99"/>
        <w:insideV w:val="single" w:sz="4" w:space="0" w:color="8EE08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C36" w:themeColor="accent4"/>
          <w:left w:val="single" w:sz="4" w:space="0" w:color="44CC36" w:themeColor="accent4"/>
          <w:bottom w:val="single" w:sz="4" w:space="0" w:color="44CC36" w:themeColor="accent4"/>
          <w:right w:val="single" w:sz="4" w:space="0" w:color="44CC36" w:themeColor="accent4"/>
          <w:insideH w:val="nil"/>
          <w:insideV w:val="nil"/>
        </w:tcBorders>
        <w:shd w:val="clear" w:color="auto" w:fill="44CC36" w:themeFill="accent4"/>
      </w:tcPr>
    </w:tblStylePr>
    <w:tblStylePr w:type="lastRow">
      <w:rPr>
        <w:b/>
        <w:bCs/>
      </w:rPr>
      <w:tblPr/>
      <w:tcPr>
        <w:tcBorders>
          <w:top w:val="double" w:sz="4" w:space="0" w:color="44CC3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C264" w:themeColor="accent5" w:themeTint="99"/>
        <w:left w:val="single" w:sz="4" w:space="0" w:color="FFC264" w:themeColor="accent5" w:themeTint="99"/>
        <w:bottom w:val="single" w:sz="4" w:space="0" w:color="FFC264" w:themeColor="accent5" w:themeTint="99"/>
        <w:right w:val="single" w:sz="4" w:space="0" w:color="FFC264" w:themeColor="accent5" w:themeTint="99"/>
        <w:insideH w:val="single" w:sz="4" w:space="0" w:color="FFC264" w:themeColor="accent5" w:themeTint="99"/>
        <w:insideV w:val="single" w:sz="4" w:space="0" w:color="FFC2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9B00" w:themeColor="accent5"/>
          <w:left w:val="single" w:sz="4" w:space="0" w:color="FC9B00" w:themeColor="accent5"/>
          <w:bottom w:val="single" w:sz="4" w:space="0" w:color="FC9B00" w:themeColor="accent5"/>
          <w:right w:val="single" w:sz="4" w:space="0" w:color="FC9B00" w:themeColor="accent5"/>
          <w:insideH w:val="nil"/>
          <w:insideV w:val="nil"/>
        </w:tcBorders>
        <w:shd w:val="clear" w:color="auto" w:fill="FC9B00" w:themeFill="accent5"/>
      </w:tcPr>
    </w:tblStylePr>
    <w:tblStylePr w:type="lastRow">
      <w:rPr>
        <w:b/>
        <w:bCs/>
      </w:rPr>
      <w:tblPr/>
      <w:tcPr>
        <w:tcBorders>
          <w:top w:val="double" w:sz="4" w:space="0" w:color="FC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97DE5" w:themeColor="accent6" w:themeTint="99"/>
        <w:left w:val="single" w:sz="4" w:space="0" w:color="B97DE5" w:themeColor="accent6" w:themeTint="99"/>
        <w:bottom w:val="single" w:sz="4" w:space="0" w:color="B97DE5" w:themeColor="accent6" w:themeTint="99"/>
        <w:right w:val="single" w:sz="4" w:space="0" w:color="B97DE5" w:themeColor="accent6" w:themeTint="99"/>
        <w:insideH w:val="single" w:sz="4" w:space="0" w:color="B97DE5" w:themeColor="accent6" w:themeTint="99"/>
        <w:insideV w:val="single" w:sz="4" w:space="0" w:color="B97DE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29D3" w:themeColor="accent6"/>
          <w:left w:val="single" w:sz="4" w:space="0" w:color="8C29D3" w:themeColor="accent6"/>
          <w:bottom w:val="single" w:sz="4" w:space="0" w:color="8C29D3" w:themeColor="accent6"/>
          <w:right w:val="single" w:sz="4" w:space="0" w:color="8C29D3" w:themeColor="accent6"/>
          <w:insideH w:val="nil"/>
          <w:insideV w:val="nil"/>
        </w:tcBorders>
        <w:shd w:val="clear" w:color="auto" w:fill="8C29D3" w:themeFill="accent6"/>
      </w:tcPr>
    </w:tblStylePr>
    <w:tblStylePr w:type="lastRow">
      <w:rPr>
        <w:b/>
        <w:bCs/>
      </w:rPr>
      <w:tblPr/>
      <w:tcPr>
        <w:tcBorders>
          <w:top w:val="double" w:sz="4" w:space="0" w:color="8C29D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CDD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0C3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0C3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0C3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0C3D" w:themeFill="accent1"/>
      </w:tcPr>
    </w:tblStylePr>
    <w:tblStylePr w:type="band1Vert">
      <w:tblPr/>
      <w:tcPr>
        <w:shd w:val="clear" w:color="auto" w:fill="FA9BB0" w:themeFill="accent1" w:themeFillTint="66"/>
      </w:tcPr>
    </w:tblStylePr>
    <w:tblStylePr w:type="band1Horz">
      <w:tblPr/>
      <w:tcPr>
        <w:shd w:val="clear" w:color="auto" w:fill="FA9BB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DBF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4DF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4DF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E4DF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E4DF9" w:themeFill="accent2"/>
      </w:tcPr>
    </w:tblStylePr>
    <w:tblStylePr w:type="band1Vert">
      <w:tblPr/>
      <w:tcPr>
        <w:shd w:val="clear" w:color="auto" w:fill="ABB7FC" w:themeFill="accent2" w:themeFillTint="66"/>
      </w:tcPr>
    </w:tblStylePr>
    <w:tblStylePr w:type="band1Horz">
      <w:tblPr/>
      <w:tcPr>
        <w:shd w:val="clear" w:color="auto" w:fill="ABB7F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DE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DE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DE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DE00" w:themeFill="accent3"/>
      </w:tcPr>
    </w:tblStylePr>
    <w:tblStylePr w:type="band1Vert">
      <w:tblPr/>
      <w:tcPr>
        <w:shd w:val="clear" w:color="auto" w:fill="FFF495" w:themeFill="accent3" w:themeFillTint="66"/>
      </w:tcPr>
    </w:tblStylePr>
    <w:tblStylePr w:type="band1Horz">
      <w:tblPr/>
      <w:tcPr>
        <w:shd w:val="clear" w:color="auto" w:fill="FFF49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4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C3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C3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C3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C36" w:themeFill="accent4"/>
      </w:tcPr>
    </w:tblStylePr>
    <w:tblStylePr w:type="band1Vert">
      <w:tblPr/>
      <w:tcPr>
        <w:shd w:val="clear" w:color="auto" w:fill="B3EAAE" w:themeFill="accent4" w:themeFillTint="66"/>
      </w:tcPr>
    </w:tblStylePr>
    <w:tblStylePr w:type="band1Horz">
      <w:tblPr/>
      <w:tcPr>
        <w:shd w:val="clear" w:color="auto" w:fill="B3EAA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C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9B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9B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9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9B00" w:themeFill="accent5"/>
      </w:tcPr>
    </w:tblStylePr>
    <w:tblStylePr w:type="band1Vert">
      <w:tblPr/>
      <w:tcPr>
        <w:shd w:val="clear" w:color="auto" w:fill="FFD697" w:themeFill="accent5" w:themeFillTint="66"/>
      </w:tcPr>
    </w:tblStylePr>
    <w:tblStylePr w:type="band1Horz">
      <w:tblPr/>
      <w:tcPr>
        <w:shd w:val="clear" w:color="auto" w:fill="FFD69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D3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29D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29D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C29D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C29D3" w:themeFill="accent6"/>
      </w:tcPr>
    </w:tblStylePr>
    <w:tblStylePr w:type="band1Vert">
      <w:tblPr/>
      <w:tcPr>
        <w:shd w:val="clear" w:color="auto" w:fill="D0A8EE" w:themeFill="accent6" w:themeFillTint="66"/>
      </w:tcPr>
    </w:tblStylePr>
    <w:tblStylePr w:type="band1Horz">
      <w:tblPr/>
      <w:tcPr>
        <w:shd w:val="clear" w:color="auto" w:fill="D0A8EE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A6EC5"/>
    <w:pPr>
      <w:spacing w:before="0" w:after="0" w:line="240" w:lineRule="auto"/>
    </w:pPr>
    <w:rPr>
      <w:color w:val="B2092D" w:themeColor="accent1" w:themeShade="BF"/>
    </w:rPr>
    <w:tblPr>
      <w:tblStyleRowBandSize w:val="1"/>
      <w:tblStyleColBandSize w:val="1"/>
      <w:tblBorders>
        <w:top w:val="single" w:sz="4" w:space="0" w:color="F76A88" w:themeColor="accent1" w:themeTint="99"/>
        <w:left w:val="single" w:sz="4" w:space="0" w:color="F76A88" w:themeColor="accent1" w:themeTint="99"/>
        <w:bottom w:val="single" w:sz="4" w:space="0" w:color="F76A88" w:themeColor="accent1" w:themeTint="99"/>
        <w:right w:val="single" w:sz="4" w:space="0" w:color="F76A88" w:themeColor="accent1" w:themeTint="99"/>
        <w:insideH w:val="single" w:sz="4" w:space="0" w:color="F76A88" w:themeColor="accent1" w:themeTint="99"/>
        <w:insideV w:val="single" w:sz="4" w:space="0" w:color="F76A8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76A8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6A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A6EC5"/>
    <w:pPr>
      <w:spacing w:before="0" w:after="0" w:line="240" w:lineRule="auto"/>
    </w:pPr>
    <w:rPr>
      <w:color w:val="0625D6" w:themeColor="accent2" w:themeShade="BF"/>
    </w:rPr>
    <w:tblPr>
      <w:tblStyleRowBandSize w:val="1"/>
      <w:tblStyleColBandSize w:val="1"/>
      <w:tblBorders>
        <w:top w:val="single" w:sz="4" w:space="0" w:color="8193FB" w:themeColor="accent2" w:themeTint="99"/>
        <w:left w:val="single" w:sz="4" w:space="0" w:color="8193FB" w:themeColor="accent2" w:themeTint="99"/>
        <w:bottom w:val="single" w:sz="4" w:space="0" w:color="8193FB" w:themeColor="accent2" w:themeTint="99"/>
        <w:right w:val="single" w:sz="4" w:space="0" w:color="8193FB" w:themeColor="accent2" w:themeTint="99"/>
        <w:insideH w:val="single" w:sz="4" w:space="0" w:color="8193FB" w:themeColor="accent2" w:themeTint="99"/>
        <w:insideV w:val="single" w:sz="4" w:space="0" w:color="8193F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193F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93F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A6EC5"/>
    <w:pPr>
      <w:spacing w:before="0" w:after="0" w:line="240" w:lineRule="auto"/>
    </w:pPr>
    <w:rPr>
      <w:color w:val="B8A500" w:themeColor="accent3" w:themeShade="BF"/>
    </w:rPr>
    <w:tblPr>
      <w:tblStyleRowBandSize w:val="1"/>
      <w:tblStyleColBandSize w:val="1"/>
      <w:tblBorders>
        <w:top w:val="single" w:sz="4" w:space="0" w:color="FFEF60" w:themeColor="accent3" w:themeTint="99"/>
        <w:left w:val="single" w:sz="4" w:space="0" w:color="FFEF60" w:themeColor="accent3" w:themeTint="99"/>
        <w:bottom w:val="single" w:sz="4" w:space="0" w:color="FFEF60" w:themeColor="accent3" w:themeTint="99"/>
        <w:right w:val="single" w:sz="4" w:space="0" w:color="FFEF60" w:themeColor="accent3" w:themeTint="99"/>
        <w:insideH w:val="single" w:sz="4" w:space="0" w:color="FFEF60" w:themeColor="accent3" w:themeTint="99"/>
        <w:insideV w:val="single" w:sz="4" w:space="0" w:color="FFEF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EF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F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A6EC5"/>
    <w:pPr>
      <w:spacing w:before="0" w:after="0" w:line="240" w:lineRule="auto"/>
    </w:pPr>
    <w:rPr>
      <w:color w:val="319927" w:themeColor="accent4" w:themeShade="BF"/>
    </w:rPr>
    <w:tblPr>
      <w:tblStyleRowBandSize w:val="1"/>
      <w:tblStyleColBandSize w:val="1"/>
      <w:tblBorders>
        <w:top w:val="single" w:sz="4" w:space="0" w:color="8EE086" w:themeColor="accent4" w:themeTint="99"/>
        <w:left w:val="single" w:sz="4" w:space="0" w:color="8EE086" w:themeColor="accent4" w:themeTint="99"/>
        <w:bottom w:val="single" w:sz="4" w:space="0" w:color="8EE086" w:themeColor="accent4" w:themeTint="99"/>
        <w:right w:val="single" w:sz="4" w:space="0" w:color="8EE086" w:themeColor="accent4" w:themeTint="99"/>
        <w:insideH w:val="single" w:sz="4" w:space="0" w:color="8EE086" w:themeColor="accent4" w:themeTint="99"/>
        <w:insideV w:val="single" w:sz="4" w:space="0" w:color="8EE08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E08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E0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A6EC5"/>
    <w:pPr>
      <w:spacing w:before="0" w:after="0" w:line="240" w:lineRule="auto"/>
    </w:pPr>
    <w:rPr>
      <w:color w:val="BC7300" w:themeColor="accent5" w:themeShade="BF"/>
    </w:rPr>
    <w:tblPr>
      <w:tblStyleRowBandSize w:val="1"/>
      <w:tblStyleColBandSize w:val="1"/>
      <w:tblBorders>
        <w:top w:val="single" w:sz="4" w:space="0" w:color="FFC264" w:themeColor="accent5" w:themeTint="99"/>
        <w:left w:val="single" w:sz="4" w:space="0" w:color="FFC264" w:themeColor="accent5" w:themeTint="99"/>
        <w:bottom w:val="single" w:sz="4" w:space="0" w:color="FFC264" w:themeColor="accent5" w:themeTint="99"/>
        <w:right w:val="single" w:sz="4" w:space="0" w:color="FFC264" w:themeColor="accent5" w:themeTint="99"/>
        <w:insideH w:val="single" w:sz="4" w:space="0" w:color="FFC264" w:themeColor="accent5" w:themeTint="99"/>
        <w:insideV w:val="single" w:sz="4" w:space="0" w:color="FFC26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C2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2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A6EC5"/>
    <w:pPr>
      <w:spacing w:before="0" w:after="0" w:line="240" w:lineRule="auto"/>
    </w:pPr>
    <w:rPr>
      <w:color w:val="681E9D" w:themeColor="accent6" w:themeShade="BF"/>
    </w:rPr>
    <w:tblPr>
      <w:tblStyleRowBandSize w:val="1"/>
      <w:tblStyleColBandSize w:val="1"/>
      <w:tblBorders>
        <w:top w:val="single" w:sz="4" w:space="0" w:color="B97DE5" w:themeColor="accent6" w:themeTint="99"/>
        <w:left w:val="single" w:sz="4" w:space="0" w:color="B97DE5" w:themeColor="accent6" w:themeTint="99"/>
        <w:bottom w:val="single" w:sz="4" w:space="0" w:color="B97DE5" w:themeColor="accent6" w:themeTint="99"/>
        <w:right w:val="single" w:sz="4" w:space="0" w:color="B97DE5" w:themeColor="accent6" w:themeTint="99"/>
        <w:insideH w:val="single" w:sz="4" w:space="0" w:color="B97DE5" w:themeColor="accent6" w:themeTint="99"/>
        <w:insideV w:val="single" w:sz="4" w:space="0" w:color="B97DE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97DE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97DE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A6EC5"/>
    <w:pPr>
      <w:spacing w:before="0" w:after="0" w:line="240" w:lineRule="auto"/>
    </w:pPr>
    <w:rPr>
      <w:color w:val="B2092D" w:themeColor="accent1" w:themeShade="BF"/>
    </w:rPr>
    <w:tblPr>
      <w:tblStyleRowBandSize w:val="1"/>
      <w:tblStyleColBandSize w:val="1"/>
      <w:tblBorders>
        <w:top w:val="single" w:sz="4" w:space="0" w:color="F76A88" w:themeColor="accent1" w:themeTint="99"/>
        <w:left w:val="single" w:sz="4" w:space="0" w:color="F76A88" w:themeColor="accent1" w:themeTint="99"/>
        <w:bottom w:val="single" w:sz="4" w:space="0" w:color="F76A88" w:themeColor="accent1" w:themeTint="99"/>
        <w:right w:val="single" w:sz="4" w:space="0" w:color="F76A88" w:themeColor="accent1" w:themeTint="99"/>
        <w:insideH w:val="single" w:sz="4" w:space="0" w:color="F76A88" w:themeColor="accent1" w:themeTint="99"/>
        <w:insideV w:val="single" w:sz="4" w:space="0" w:color="F76A8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  <w:tblStylePr w:type="neCell">
      <w:tblPr/>
      <w:tcPr>
        <w:tcBorders>
          <w:bottom w:val="single" w:sz="4" w:space="0" w:color="F76A88" w:themeColor="accent1" w:themeTint="99"/>
        </w:tcBorders>
      </w:tcPr>
    </w:tblStylePr>
    <w:tblStylePr w:type="nwCell">
      <w:tblPr/>
      <w:tcPr>
        <w:tcBorders>
          <w:bottom w:val="single" w:sz="4" w:space="0" w:color="F76A88" w:themeColor="accent1" w:themeTint="99"/>
        </w:tcBorders>
      </w:tcPr>
    </w:tblStylePr>
    <w:tblStylePr w:type="seCell">
      <w:tblPr/>
      <w:tcPr>
        <w:tcBorders>
          <w:top w:val="single" w:sz="4" w:space="0" w:color="F76A88" w:themeColor="accent1" w:themeTint="99"/>
        </w:tcBorders>
      </w:tcPr>
    </w:tblStylePr>
    <w:tblStylePr w:type="swCell">
      <w:tblPr/>
      <w:tcPr>
        <w:tcBorders>
          <w:top w:val="single" w:sz="4" w:space="0" w:color="F76A8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A6EC5"/>
    <w:pPr>
      <w:spacing w:before="0" w:after="0" w:line="240" w:lineRule="auto"/>
    </w:pPr>
    <w:rPr>
      <w:color w:val="0625D6" w:themeColor="accent2" w:themeShade="BF"/>
    </w:rPr>
    <w:tblPr>
      <w:tblStyleRowBandSize w:val="1"/>
      <w:tblStyleColBandSize w:val="1"/>
      <w:tblBorders>
        <w:top w:val="single" w:sz="4" w:space="0" w:color="8193FB" w:themeColor="accent2" w:themeTint="99"/>
        <w:left w:val="single" w:sz="4" w:space="0" w:color="8193FB" w:themeColor="accent2" w:themeTint="99"/>
        <w:bottom w:val="single" w:sz="4" w:space="0" w:color="8193FB" w:themeColor="accent2" w:themeTint="99"/>
        <w:right w:val="single" w:sz="4" w:space="0" w:color="8193FB" w:themeColor="accent2" w:themeTint="99"/>
        <w:insideH w:val="single" w:sz="4" w:space="0" w:color="8193FB" w:themeColor="accent2" w:themeTint="99"/>
        <w:insideV w:val="single" w:sz="4" w:space="0" w:color="8193F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  <w:tblStylePr w:type="neCell">
      <w:tblPr/>
      <w:tcPr>
        <w:tcBorders>
          <w:bottom w:val="single" w:sz="4" w:space="0" w:color="8193FB" w:themeColor="accent2" w:themeTint="99"/>
        </w:tcBorders>
      </w:tcPr>
    </w:tblStylePr>
    <w:tblStylePr w:type="nwCell">
      <w:tblPr/>
      <w:tcPr>
        <w:tcBorders>
          <w:bottom w:val="single" w:sz="4" w:space="0" w:color="8193FB" w:themeColor="accent2" w:themeTint="99"/>
        </w:tcBorders>
      </w:tcPr>
    </w:tblStylePr>
    <w:tblStylePr w:type="seCell">
      <w:tblPr/>
      <w:tcPr>
        <w:tcBorders>
          <w:top w:val="single" w:sz="4" w:space="0" w:color="8193FB" w:themeColor="accent2" w:themeTint="99"/>
        </w:tcBorders>
      </w:tcPr>
    </w:tblStylePr>
    <w:tblStylePr w:type="swCell">
      <w:tblPr/>
      <w:tcPr>
        <w:tcBorders>
          <w:top w:val="single" w:sz="4" w:space="0" w:color="8193FB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A6EC5"/>
    <w:pPr>
      <w:spacing w:before="0" w:after="0" w:line="240" w:lineRule="auto"/>
    </w:pPr>
    <w:rPr>
      <w:color w:val="B8A500" w:themeColor="accent3" w:themeShade="BF"/>
    </w:rPr>
    <w:tblPr>
      <w:tblStyleRowBandSize w:val="1"/>
      <w:tblStyleColBandSize w:val="1"/>
      <w:tblBorders>
        <w:top w:val="single" w:sz="4" w:space="0" w:color="FFEF60" w:themeColor="accent3" w:themeTint="99"/>
        <w:left w:val="single" w:sz="4" w:space="0" w:color="FFEF60" w:themeColor="accent3" w:themeTint="99"/>
        <w:bottom w:val="single" w:sz="4" w:space="0" w:color="FFEF60" w:themeColor="accent3" w:themeTint="99"/>
        <w:right w:val="single" w:sz="4" w:space="0" w:color="FFEF60" w:themeColor="accent3" w:themeTint="99"/>
        <w:insideH w:val="single" w:sz="4" w:space="0" w:color="FFEF60" w:themeColor="accent3" w:themeTint="99"/>
        <w:insideV w:val="single" w:sz="4" w:space="0" w:color="FFEF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  <w:tblStylePr w:type="neCell">
      <w:tblPr/>
      <w:tcPr>
        <w:tcBorders>
          <w:bottom w:val="single" w:sz="4" w:space="0" w:color="FFEF60" w:themeColor="accent3" w:themeTint="99"/>
        </w:tcBorders>
      </w:tcPr>
    </w:tblStylePr>
    <w:tblStylePr w:type="nwCell">
      <w:tblPr/>
      <w:tcPr>
        <w:tcBorders>
          <w:bottom w:val="single" w:sz="4" w:space="0" w:color="FFEF60" w:themeColor="accent3" w:themeTint="99"/>
        </w:tcBorders>
      </w:tcPr>
    </w:tblStylePr>
    <w:tblStylePr w:type="seCell">
      <w:tblPr/>
      <w:tcPr>
        <w:tcBorders>
          <w:top w:val="single" w:sz="4" w:space="0" w:color="FFEF60" w:themeColor="accent3" w:themeTint="99"/>
        </w:tcBorders>
      </w:tcPr>
    </w:tblStylePr>
    <w:tblStylePr w:type="swCell">
      <w:tblPr/>
      <w:tcPr>
        <w:tcBorders>
          <w:top w:val="single" w:sz="4" w:space="0" w:color="FFEF6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A6EC5"/>
    <w:pPr>
      <w:spacing w:before="0" w:after="0" w:line="240" w:lineRule="auto"/>
    </w:pPr>
    <w:rPr>
      <w:color w:val="319927" w:themeColor="accent4" w:themeShade="BF"/>
    </w:rPr>
    <w:tblPr>
      <w:tblStyleRowBandSize w:val="1"/>
      <w:tblStyleColBandSize w:val="1"/>
      <w:tblBorders>
        <w:top w:val="single" w:sz="4" w:space="0" w:color="8EE086" w:themeColor="accent4" w:themeTint="99"/>
        <w:left w:val="single" w:sz="4" w:space="0" w:color="8EE086" w:themeColor="accent4" w:themeTint="99"/>
        <w:bottom w:val="single" w:sz="4" w:space="0" w:color="8EE086" w:themeColor="accent4" w:themeTint="99"/>
        <w:right w:val="single" w:sz="4" w:space="0" w:color="8EE086" w:themeColor="accent4" w:themeTint="99"/>
        <w:insideH w:val="single" w:sz="4" w:space="0" w:color="8EE086" w:themeColor="accent4" w:themeTint="99"/>
        <w:insideV w:val="single" w:sz="4" w:space="0" w:color="8EE08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  <w:tblStylePr w:type="neCell">
      <w:tblPr/>
      <w:tcPr>
        <w:tcBorders>
          <w:bottom w:val="single" w:sz="4" w:space="0" w:color="8EE086" w:themeColor="accent4" w:themeTint="99"/>
        </w:tcBorders>
      </w:tcPr>
    </w:tblStylePr>
    <w:tblStylePr w:type="nwCell">
      <w:tblPr/>
      <w:tcPr>
        <w:tcBorders>
          <w:bottom w:val="single" w:sz="4" w:space="0" w:color="8EE086" w:themeColor="accent4" w:themeTint="99"/>
        </w:tcBorders>
      </w:tcPr>
    </w:tblStylePr>
    <w:tblStylePr w:type="seCell">
      <w:tblPr/>
      <w:tcPr>
        <w:tcBorders>
          <w:top w:val="single" w:sz="4" w:space="0" w:color="8EE086" w:themeColor="accent4" w:themeTint="99"/>
        </w:tcBorders>
      </w:tcPr>
    </w:tblStylePr>
    <w:tblStylePr w:type="swCell">
      <w:tblPr/>
      <w:tcPr>
        <w:tcBorders>
          <w:top w:val="single" w:sz="4" w:space="0" w:color="8EE08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A6EC5"/>
    <w:pPr>
      <w:spacing w:before="0" w:after="0" w:line="240" w:lineRule="auto"/>
    </w:pPr>
    <w:rPr>
      <w:color w:val="BC7300" w:themeColor="accent5" w:themeShade="BF"/>
    </w:rPr>
    <w:tblPr>
      <w:tblStyleRowBandSize w:val="1"/>
      <w:tblStyleColBandSize w:val="1"/>
      <w:tblBorders>
        <w:top w:val="single" w:sz="4" w:space="0" w:color="FFC264" w:themeColor="accent5" w:themeTint="99"/>
        <w:left w:val="single" w:sz="4" w:space="0" w:color="FFC264" w:themeColor="accent5" w:themeTint="99"/>
        <w:bottom w:val="single" w:sz="4" w:space="0" w:color="FFC264" w:themeColor="accent5" w:themeTint="99"/>
        <w:right w:val="single" w:sz="4" w:space="0" w:color="FFC264" w:themeColor="accent5" w:themeTint="99"/>
        <w:insideH w:val="single" w:sz="4" w:space="0" w:color="FFC264" w:themeColor="accent5" w:themeTint="99"/>
        <w:insideV w:val="single" w:sz="4" w:space="0" w:color="FFC26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  <w:tblStylePr w:type="neCell">
      <w:tblPr/>
      <w:tcPr>
        <w:tcBorders>
          <w:bottom w:val="single" w:sz="4" w:space="0" w:color="FFC264" w:themeColor="accent5" w:themeTint="99"/>
        </w:tcBorders>
      </w:tcPr>
    </w:tblStylePr>
    <w:tblStylePr w:type="nwCell">
      <w:tblPr/>
      <w:tcPr>
        <w:tcBorders>
          <w:bottom w:val="single" w:sz="4" w:space="0" w:color="FFC264" w:themeColor="accent5" w:themeTint="99"/>
        </w:tcBorders>
      </w:tcPr>
    </w:tblStylePr>
    <w:tblStylePr w:type="seCell">
      <w:tblPr/>
      <w:tcPr>
        <w:tcBorders>
          <w:top w:val="single" w:sz="4" w:space="0" w:color="FFC264" w:themeColor="accent5" w:themeTint="99"/>
        </w:tcBorders>
      </w:tcPr>
    </w:tblStylePr>
    <w:tblStylePr w:type="swCell">
      <w:tblPr/>
      <w:tcPr>
        <w:tcBorders>
          <w:top w:val="single" w:sz="4" w:space="0" w:color="FFC26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A6EC5"/>
    <w:pPr>
      <w:spacing w:before="0" w:after="0" w:line="240" w:lineRule="auto"/>
    </w:pPr>
    <w:rPr>
      <w:color w:val="681E9D" w:themeColor="accent6" w:themeShade="BF"/>
    </w:rPr>
    <w:tblPr>
      <w:tblStyleRowBandSize w:val="1"/>
      <w:tblStyleColBandSize w:val="1"/>
      <w:tblBorders>
        <w:top w:val="single" w:sz="4" w:space="0" w:color="B97DE5" w:themeColor="accent6" w:themeTint="99"/>
        <w:left w:val="single" w:sz="4" w:space="0" w:color="B97DE5" w:themeColor="accent6" w:themeTint="99"/>
        <w:bottom w:val="single" w:sz="4" w:space="0" w:color="B97DE5" w:themeColor="accent6" w:themeTint="99"/>
        <w:right w:val="single" w:sz="4" w:space="0" w:color="B97DE5" w:themeColor="accent6" w:themeTint="99"/>
        <w:insideH w:val="single" w:sz="4" w:space="0" w:color="B97DE5" w:themeColor="accent6" w:themeTint="99"/>
        <w:insideV w:val="single" w:sz="4" w:space="0" w:color="B97DE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  <w:tblStylePr w:type="neCell">
      <w:tblPr/>
      <w:tcPr>
        <w:tcBorders>
          <w:bottom w:val="single" w:sz="4" w:space="0" w:color="B97DE5" w:themeColor="accent6" w:themeTint="99"/>
        </w:tcBorders>
      </w:tcPr>
    </w:tblStylePr>
    <w:tblStylePr w:type="nwCell">
      <w:tblPr/>
      <w:tcPr>
        <w:tcBorders>
          <w:bottom w:val="single" w:sz="4" w:space="0" w:color="B97DE5" w:themeColor="accent6" w:themeTint="99"/>
        </w:tcBorders>
      </w:tcPr>
    </w:tblStylePr>
    <w:tblStylePr w:type="seCell">
      <w:tblPr/>
      <w:tcPr>
        <w:tcBorders>
          <w:top w:val="single" w:sz="4" w:space="0" w:color="B97DE5" w:themeColor="accent6" w:themeTint="99"/>
        </w:tcBorders>
      </w:tcPr>
    </w:tblStylePr>
    <w:tblStylePr w:type="swCell">
      <w:tblPr/>
      <w:tcPr>
        <w:tcBorders>
          <w:top w:val="single" w:sz="4" w:space="0" w:color="B97DE5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A6EC5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A6EC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A6EC5"/>
    <w:rPr>
      <w:i/>
      <w:iCs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5A6EC5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5A6EC5"/>
    <w:rPr>
      <w:rFonts w:ascii="Consolas" w:hAnsi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5A6EC5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5A6EC5"/>
    <w:rPr>
      <w:rFonts w:ascii="Consolas" w:hAnsi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6EC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6EC5"/>
    <w:rPr>
      <w:rFonts w:ascii="Consolas" w:hAnsi="Consolas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semiHidden/>
    <w:unhideWhenUsed/>
    <w:rsid w:val="005A6EC5"/>
    <w:rPr>
      <w:rFonts w:ascii="Consolas" w:hAnsi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5A6EC5"/>
    <w:rPr>
      <w:rFonts w:ascii="Consolas" w:hAnsi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5A6EC5"/>
    <w:rPr>
      <w:i/>
      <w:iCs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A6EC5"/>
    <w:rPr>
      <w:rFonts w:eastAsiaTheme="majorEastAsia" w:cs="Arial"/>
      <w:b/>
      <w:bCs/>
    </w:rPr>
  </w:style>
  <w:style w:type="character" w:styleId="IntenseEmphasis">
    <w:name w:val="Intense Emphasis"/>
    <w:basedOn w:val="DefaultParagraphFont"/>
    <w:uiPriority w:val="21"/>
    <w:qFormat/>
    <w:rsid w:val="005A6EC5"/>
    <w:rPr>
      <w:i/>
      <w:iCs/>
      <w:color w:val="EE0C3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EC5"/>
    <w:pPr>
      <w:pBdr>
        <w:top w:val="single" w:sz="4" w:space="10" w:color="EE0C3D" w:themeColor="accent1"/>
        <w:bottom w:val="single" w:sz="4" w:space="10" w:color="EE0C3D" w:themeColor="accent1"/>
      </w:pBdr>
      <w:spacing w:before="360" w:after="360"/>
      <w:ind w:left="864" w:right="864"/>
      <w:jc w:val="center"/>
    </w:pPr>
    <w:rPr>
      <w:i/>
      <w:iCs/>
      <w:color w:val="EE0C3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EC5"/>
    <w:rPr>
      <w:i/>
      <w:iCs/>
      <w:color w:val="EE0C3D" w:themeColor="accent1"/>
      <w:lang w:val="en-US"/>
    </w:rPr>
  </w:style>
  <w:style w:type="character" w:styleId="IntenseReference">
    <w:name w:val="Intense Reference"/>
    <w:basedOn w:val="DefaultParagraphFont"/>
    <w:uiPriority w:val="32"/>
    <w:qFormat/>
    <w:rsid w:val="005A6EC5"/>
    <w:rPr>
      <w:b/>
      <w:bCs/>
      <w:smallCaps/>
      <w:color w:val="EE0C3D" w:themeColor="accent1"/>
      <w:spacing w:val="5"/>
      <w:lang w:val="en-US"/>
    </w:rPr>
  </w:style>
  <w:style w:type="table" w:styleId="LightGrid">
    <w:name w:val="Light Grid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E0C3D" w:themeColor="accent1"/>
        <w:left w:val="single" w:sz="8" w:space="0" w:color="EE0C3D" w:themeColor="accent1"/>
        <w:bottom w:val="single" w:sz="8" w:space="0" w:color="EE0C3D" w:themeColor="accent1"/>
        <w:right w:val="single" w:sz="8" w:space="0" w:color="EE0C3D" w:themeColor="accent1"/>
        <w:insideH w:val="single" w:sz="8" w:space="0" w:color="EE0C3D" w:themeColor="accent1"/>
        <w:insideV w:val="single" w:sz="8" w:space="0" w:color="EE0C3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18" w:space="0" w:color="EE0C3D" w:themeColor="accent1"/>
          <w:right w:val="single" w:sz="8" w:space="0" w:color="EE0C3D" w:themeColor="accent1"/>
          <w:insideH w:val="nil"/>
          <w:insideV w:val="single" w:sz="8" w:space="0" w:color="EE0C3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  <w:insideH w:val="nil"/>
          <w:insideV w:val="single" w:sz="8" w:space="0" w:color="EE0C3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</w:tcBorders>
      </w:tcPr>
    </w:tblStylePr>
    <w:tblStylePr w:type="band1Vert"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</w:tcBorders>
        <w:shd w:val="clear" w:color="auto" w:fill="FCC1CE" w:themeFill="accent1" w:themeFillTint="3F"/>
      </w:tcPr>
    </w:tblStylePr>
    <w:tblStylePr w:type="band1Horz"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  <w:insideV w:val="single" w:sz="8" w:space="0" w:color="EE0C3D" w:themeColor="accent1"/>
        </w:tcBorders>
        <w:shd w:val="clear" w:color="auto" w:fill="FCC1CE" w:themeFill="accent1" w:themeFillTint="3F"/>
      </w:tcPr>
    </w:tblStylePr>
    <w:tblStylePr w:type="band2Horz"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  <w:insideV w:val="single" w:sz="8" w:space="0" w:color="EE0C3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2E4DF9" w:themeColor="accent2"/>
        <w:left w:val="single" w:sz="8" w:space="0" w:color="2E4DF9" w:themeColor="accent2"/>
        <w:bottom w:val="single" w:sz="8" w:space="0" w:color="2E4DF9" w:themeColor="accent2"/>
        <w:right w:val="single" w:sz="8" w:space="0" w:color="2E4DF9" w:themeColor="accent2"/>
        <w:insideH w:val="single" w:sz="8" w:space="0" w:color="2E4DF9" w:themeColor="accent2"/>
        <w:insideV w:val="single" w:sz="8" w:space="0" w:color="2E4DF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18" w:space="0" w:color="2E4DF9" w:themeColor="accent2"/>
          <w:right w:val="single" w:sz="8" w:space="0" w:color="2E4DF9" w:themeColor="accent2"/>
          <w:insideH w:val="nil"/>
          <w:insideV w:val="single" w:sz="8" w:space="0" w:color="2E4DF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  <w:insideH w:val="nil"/>
          <w:insideV w:val="single" w:sz="8" w:space="0" w:color="2E4DF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</w:tcBorders>
      </w:tcPr>
    </w:tblStylePr>
    <w:tblStylePr w:type="band1Vert"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</w:tcBorders>
        <w:shd w:val="clear" w:color="auto" w:fill="CBD2FD" w:themeFill="accent2" w:themeFillTint="3F"/>
      </w:tcPr>
    </w:tblStylePr>
    <w:tblStylePr w:type="band1Horz"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  <w:insideV w:val="single" w:sz="8" w:space="0" w:color="2E4DF9" w:themeColor="accent2"/>
        </w:tcBorders>
        <w:shd w:val="clear" w:color="auto" w:fill="CBD2FD" w:themeFill="accent2" w:themeFillTint="3F"/>
      </w:tcPr>
    </w:tblStylePr>
    <w:tblStylePr w:type="band2Horz"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  <w:insideV w:val="single" w:sz="8" w:space="0" w:color="2E4DF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6DE00" w:themeColor="accent3"/>
        <w:left w:val="single" w:sz="8" w:space="0" w:color="F6DE00" w:themeColor="accent3"/>
        <w:bottom w:val="single" w:sz="8" w:space="0" w:color="F6DE00" w:themeColor="accent3"/>
        <w:right w:val="single" w:sz="8" w:space="0" w:color="F6DE00" w:themeColor="accent3"/>
        <w:insideH w:val="single" w:sz="8" w:space="0" w:color="F6DE00" w:themeColor="accent3"/>
        <w:insideV w:val="single" w:sz="8" w:space="0" w:color="F6DE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18" w:space="0" w:color="F6DE00" w:themeColor="accent3"/>
          <w:right w:val="single" w:sz="8" w:space="0" w:color="F6DE00" w:themeColor="accent3"/>
          <w:insideH w:val="nil"/>
          <w:insideV w:val="single" w:sz="8" w:space="0" w:color="F6DE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  <w:insideH w:val="nil"/>
          <w:insideV w:val="single" w:sz="8" w:space="0" w:color="F6DE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</w:tcBorders>
      </w:tcPr>
    </w:tblStylePr>
    <w:tblStylePr w:type="band1Vert"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</w:tcBorders>
        <w:shd w:val="clear" w:color="auto" w:fill="FFF8BD" w:themeFill="accent3" w:themeFillTint="3F"/>
      </w:tcPr>
    </w:tblStylePr>
    <w:tblStylePr w:type="band1Horz"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  <w:insideV w:val="single" w:sz="8" w:space="0" w:color="F6DE00" w:themeColor="accent3"/>
        </w:tcBorders>
        <w:shd w:val="clear" w:color="auto" w:fill="FFF8BD" w:themeFill="accent3" w:themeFillTint="3F"/>
      </w:tcPr>
    </w:tblStylePr>
    <w:tblStylePr w:type="band2Horz"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  <w:insideV w:val="single" w:sz="8" w:space="0" w:color="F6DE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CC36" w:themeColor="accent4"/>
        <w:left w:val="single" w:sz="8" w:space="0" w:color="44CC36" w:themeColor="accent4"/>
        <w:bottom w:val="single" w:sz="8" w:space="0" w:color="44CC36" w:themeColor="accent4"/>
        <w:right w:val="single" w:sz="8" w:space="0" w:color="44CC36" w:themeColor="accent4"/>
        <w:insideH w:val="single" w:sz="8" w:space="0" w:color="44CC36" w:themeColor="accent4"/>
        <w:insideV w:val="single" w:sz="8" w:space="0" w:color="44CC3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18" w:space="0" w:color="44CC36" w:themeColor="accent4"/>
          <w:right w:val="single" w:sz="8" w:space="0" w:color="44CC36" w:themeColor="accent4"/>
          <w:insideH w:val="nil"/>
          <w:insideV w:val="single" w:sz="8" w:space="0" w:color="44CC3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  <w:insideH w:val="nil"/>
          <w:insideV w:val="single" w:sz="8" w:space="0" w:color="44CC3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</w:tcBorders>
      </w:tcPr>
    </w:tblStylePr>
    <w:tblStylePr w:type="band1Vert"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</w:tcBorders>
        <w:shd w:val="clear" w:color="auto" w:fill="D0F2CD" w:themeFill="accent4" w:themeFillTint="3F"/>
      </w:tcPr>
    </w:tblStylePr>
    <w:tblStylePr w:type="band1Horz"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  <w:insideV w:val="single" w:sz="8" w:space="0" w:color="44CC36" w:themeColor="accent4"/>
        </w:tcBorders>
        <w:shd w:val="clear" w:color="auto" w:fill="D0F2CD" w:themeFill="accent4" w:themeFillTint="3F"/>
      </w:tcPr>
    </w:tblStylePr>
    <w:tblStylePr w:type="band2Horz"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  <w:insideV w:val="single" w:sz="8" w:space="0" w:color="44CC3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C9B00" w:themeColor="accent5"/>
        <w:left w:val="single" w:sz="8" w:space="0" w:color="FC9B00" w:themeColor="accent5"/>
        <w:bottom w:val="single" w:sz="8" w:space="0" w:color="FC9B00" w:themeColor="accent5"/>
        <w:right w:val="single" w:sz="8" w:space="0" w:color="FC9B00" w:themeColor="accent5"/>
        <w:insideH w:val="single" w:sz="8" w:space="0" w:color="FC9B00" w:themeColor="accent5"/>
        <w:insideV w:val="single" w:sz="8" w:space="0" w:color="FC9B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18" w:space="0" w:color="FC9B00" w:themeColor="accent5"/>
          <w:right w:val="single" w:sz="8" w:space="0" w:color="FC9B00" w:themeColor="accent5"/>
          <w:insideH w:val="nil"/>
          <w:insideV w:val="single" w:sz="8" w:space="0" w:color="FC9B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  <w:insideH w:val="nil"/>
          <w:insideV w:val="single" w:sz="8" w:space="0" w:color="FC9B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</w:tcBorders>
      </w:tcPr>
    </w:tblStylePr>
    <w:tblStylePr w:type="band1Vert"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</w:tcBorders>
        <w:shd w:val="clear" w:color="auto" w:fill="FFE6BF" w:themeFill="accent5" w:themeFillTint="3F"/>
      </w:tcPr>
    </w:tblStylePr>
    <w:tblStylePr w:type="band1Horz"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  <w:insideV w:val="single" w:sz="8" w:space="0" w:color="FC9B00" w:themeColor="accent5"/>
        </w:tcBorders>
        <w:shd w:val="clear" w:color="auto" w:fill="FFE6BF" w:themeFill="accent5" w:themeFillTint="3F"/>
      </w:tcPr>
    </w:tblStylePr>
    <w:tblStylePr w:type="band2Horz"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  <w:insideV w:val="single" w:sz="8" w:space="0" w:color="FC9B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C29D3" w:themeColor="accent6"/>
        <w:left w:val="single" w:sz="8" w:space="0" w:color="8C29D3" w:themeColor="accent6"/>
        <w:bottom w:val="single" w:sz="8" w:space="0" w:color="8C29D3" w:themeColor="accent6"/>
        <w:right w:val="single" w:sz="8" w:space="0" w:color="8C29D3" w:themeColor="accent6"/>
        <w:insideH w:val="single" w:sz="8" w:space="0" w:color="8C29D3" w:themeColor="accent6"/>
        <w:insideV w:val="single" w:sz="8" w:space="0" w:color="8C29D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18" w:space="0" w:color="8C29D3" w:themeColor="accent6"/>
          <w:right w:val="single" w:sz="8" w:space="0" w:color="8C29D3" w:themeColor="accent6"/>
          <w:insideH w:val="nil"/>
          <w:insideV w:val="single" w:sz="8" w:space="0" w:color="8C29D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  <w:insideH w:val="nil"/>
          <w:insideV w:val="single" w:sz="8" w:space="0" w:color="8C29D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</w:tcBorders>
      </w:tcPr>
    </w:tblStylePr>
    <w:tblStylePr w:type="band1Vert"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</w:tcBorders>
        <w:shd w:val="clear" w:color="auto" w:fill="E2C9F4" w:themeFill="accent6" w:themeFillTint="3F"/>
      </w:tcPr>
    </w:tblStylePr>
    <w:tblStylePr w:type="band1Horz"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  <w:insideV w:val="single" w:sz="8" w:space="0" w:color="8C29D3" w:themeColor="accent6"/>
        </w:tcBorders>
        <w:shd w:val="clear" w:color="auto" w:fill="E2C9F4" w:themeFill="accent6" w:themeFillTint="3F"/>
      </w:tcPr>
    </w:tblStylePr>
    <w:tblStylePr w:type="band2Horz"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  <w:insideV w:val="single" w:sz="8" w:space="0" w:color="8C29D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E0C3D" w:themeColor="accent1"/>
        <w:left w:val="single" w:sz="8" w:space="0" w:color="EE0C3D" w:themeColor="accent1"/>
        <w:bottom w:val="single" w:sz="8" w:space="0" w:color="EE0C3D" w:themeColor="accent1"/>
        <w:right w:val="single" w:sz="8" w:space="0" w:color="EE0C3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0C3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</w:tcBorders>
      </w:tcPr>
    </w:tblStylePr>
    <w:tblStylePr w:type="band1Horz"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2E4DF9" w:themeColor="accent2"/>
        <w:left w:val="single" w:sz="8" w:space="0" w:color="2E4DF9" w:themeColor="accent2"/>
        <w:bottom w:val="single" w:sz="8" w:space="0" w:color="2E4DF9" w:themeColor="accent2"/>
        <w:right w:val="single" w:sz="8" w:space="0" w:color="2E4DF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E4DF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</w:tcBorders>
      </w:tcPr>
    </w:tblStylePr>
    <w:tblStylePr w:type="band1Horz"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6DE00" w:themeColor="accent3"/>
        <w:left w:val="single" w:sz="8" w:space="0" w:color="F6DE00" w:themeColor="accent3"/>
        <w:bottom w:val="single" w:sz="8" w:space="0" w:color="F6DE00" w:themeColor="accent3"/>
        <w:right w:val="single" w:sz="8" w:space="0" w:color="F6DE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DE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</w:tcBorders>
      </w:tcPr>
    </w:tblStylePr>
    <w:tblStylePr w:type="band1Horz"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CC36" w:themeColor="accent4"/>
        <w:left w:val="single" w:sz="8" w:space="0" w:color="44CC36" w:themeColor="accent4"/>
        <w:bottom w:val="single" w:sz="8" w:space="0" w:color="44CC36" w:themeColor="accent4"/>
        <w:right w:val="single" w:sz="8" w:space="0" w:color="44CC3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CC3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</w:tcBorders>
      </w:tcPr>
    </w:tblStylePr>
    <w:tblStylePr w:type="band1Horz"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C9B00" w:themeColor="accent5"/>
        <w:left w:val="single" w:sz="8" w:space="0" w:color="FC9B00" w:themeColor="accent5"/>
        <w:bottom w:val="single" w:sz="8" w:space="0" w:color="FC9B00" w:themeColor="accent5"/>
        <w:right w:val="single" w:sz="8" w:space="0" w:color="FC9B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9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</w:tcBorders>
      </w:tcPr>
    </w:tblStylePr>
    <w:tblStylePr w:type="band1Horz"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C29D3" w:themeColor="accent6"/>
        <w:left w:val="single" w:sz="8" w:space="0" w:color="8C29D3" w:themeColor="accent6"/>
        <w:bottom w:val="single" w:sz="8" w:space="0" w:color="8C29D3" w:themeColor="accent6"/>
        <w:right w:val="single" w:sz="8" w:space="0" w:color="8C29D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C29D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</w:tcBorders>
      </w:tcPr>
    </w:tblStylePr>
    <w:tblStylePr w:type="band1Horz"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B2092D" w:themeColor="accent1" w:themeShade="BF"/>
    </w:rPr>
    <w:tblPr>
      <w:tblStyleRowBandSize w:val="1"/>
      <w:tblStyleColBandSize w:val="1"/>
      <w:tblBorders>
        <w:top w:val="single" w:sz="8" w:space="0" w:color="EE0C3D" w:themeColor="accent1"/>
        <w:bottom w:val="single" w:sz="8" w:space="0" w:color="EE0C3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0C3D" w:themeColor="accent1"/>
          <w:left w:val="nil"/>
          <w:bottom w:val="single" w:sz="8" w:space="0" w:color="EE0C3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0C3D" w:themeColor="accent1"/>
          <w:left w:val="nil"/>
          <w:bottom w:val="single" w:sz="8" w:space="0" w:color="EE0C3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1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C1C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0625D6" w:themeColor="accent2" w:themeShade="BF"/>
    </w:rPr>
    <w:tblPr>
      <w:tblStyleRowBandSize w:val="1"/>
      <w:tblStyleColBandSize w:val="1"/>
      <w:tblBorders>
        <w:top w:val="single" w:sz="8" w:space="0" w:color="2E4DF9" w:themeColor="accent2"/>
        <w:bottom w:val="single" w:sz="8" w:space="0" w:color="2E4DF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4DF9" w:themeColor="accent2"/>
          <w:left w:val="nil"/>
          <w:bottom w:val="single" w:sz="8" w:space="0" w:color="2E4DF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4DF9" w:themeColor="accent2"/>
          <w:left w:val="nil"/>
          <w:bottom w:val="single" w:sz="8" w:space="0" w:color="2E4DF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2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D2F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B8A500" w:themeColor="accent3" w:themeShade="BF"/>
    </w:rPr>
    <w:tblPr>
      <w:tblStyleRowBandSize w:val="1"/>
      <w:tblStyleColBandSize w:val="1"/>
      <w:tblBorders>
        <w:top w:val="single" w:sz="8" w:space="0" w:color="F6DE00" w:themeColor="accent3"/>
        <w:bottom w:val="single" w:sz="8" w:space="0" w:color="F6DE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DE00" w:themeColor="accent3"/>
          <w:left w:val="nil"/>
          <w:bottom w:val="single" w:sz="8" w:space="0" w:color="F6DE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DE00" w:themeColor="accent3"/>
          <w:left w:val="nil"/>
          <w:bottom w:val="single" w:sz="8" w:space="0" w:color="F6DE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8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8B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319927" w:themeColor="accent4" w:themeShade="BF"/>
    </w:rPr>
    <w:tblPr>
      <w:tblStyleRowBandSize w:val="1"/>
      <w:tblStyleColBandSize w:val="1"/>
      <w:tblBorders>
        <w:top w:val="single" w:sz="8" w:space="0" w:color="44CC36" w:themeColor="accent4"/>
        <w:bottom w:val="single" w:sz="8" w:space="0" w:color="44CC3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C36" w:themeColor="accent4"/>
          <w:left w:val="nil"/>
          <w:bottom w:val="single" w:sz="8" w:space="0" w:color="44CC3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C36" w:themeColor="accent4"/>
          <w:left w:val="nil"/>
          <w:bottom w:val="single" w:sz="8" w:space="0" w:color="44CC3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2C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F2C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BC7300" w:themeColor="accent5" w:themeShade="BF"/>
    </w:rPr>
    <w:tblPr>
      <w:tblStyleRowBandSize w:val="1"/>
      <w:tblStyleColBandSize w:val="1"/>
      <w:tblBorders>
        <w:top w:val="single" w:sz="8" w:space="0" w:color="FC9B00" w:themeColor="accent5"/>
        <w:bottom w:val="single" w:sz="8" w:space="0" w:color="FC9B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9B00" w:themeColor="accent5"/>
          <w:left w:val="nil"/>
          <w:bottom w:val="single" w:sz="8" w:space="0" w:color="FC9B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9B00" w:themeColor="accent5"/>
          <w:left w:val="nil"/>
          <w:bottom w:val="single" w:sz="8" w:space="0" w:color="FC9B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B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681E9D" w:themeColor="accent6" w:themeShade="BF"/>
    </w:rPr>
    <w:tblPr>
      <w:tblStyleRowBandSize w:val="1"/>
      <w:tblStyleColBandSize w:val="1"/>
      <w:tblBorders>
        <w:top w:val="single" w:sz="8" w:space="0" w:color="8C29D3" w:themeColor="accent6"/>
        <w:bottom w:val="single" w:sz="8" w:space="0" w:color="8C29D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29D3" w:themeColor="accent6"/>
          <w:left w:val="nil"/>
          <w:bottom w:val="single" w:sz="8" w:space="0" w:color="8C29D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29D3" w:themeColor="accent6"/>
          <w:left w:val="nil"/>
          <w:bottom w:val="single" w:sz="8" w:space="0" w:color="8C29D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9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9F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A6EC5"/>
    <w:rPr>
      <w:lang w:val="en-US"/>
    </w:rPr>
  </w:style>
  <w:style w:type="paragraph" w:styleId="List">
    <w:name w:val="List"/>
    <w:basedOn w:val="Normal"/>
    <w:uiPriority w:val="99"/>
    <w:semiHidden/>
    <w:unhideWhenUsed/>
    <w:rsid w:val="005A6EC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A6EC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A6EC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A6EC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A6EC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A6EC5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A6EC5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A6EC5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A6EC5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A6EC5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A6EC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A6EC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A6EC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A6EC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A6EC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A6EC5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A6EC5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A6EC5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A6EC5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A6EC5"/>
    <w:pPr>
      <w:numPr>
        <w:numId w:val="16"/>
      </w:numPr>
      <w:contextualSpacing/>
    </w:pPr>
  </w:style>
  <w:style w:type="paragraph" w:styleId="ListParagraph">
    <w:name w:val="List Paragraph"/>
    <w:aliases w:val="References,List Paragraph (numbered (a)),Bullets,Liste 1,List Paragraph1,Numbered List Paragraph,List Bullet Mary,Medium Grid 1 - Accent 21,Colorful List - Accent 11,ReferencesCxSpLast,List Paragraph nowy,Paragraphe de liste1,Header 2"/>
    <w:basedOn w:val="Normal"/>
    <w:link w:val="ListParagraphChar"/>
    <w:uiPriority w:val="1"/>
    <w:qFormat/>
    <w:rsid w:val="005A6EC5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6A8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6A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93F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93F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F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F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E08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E0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2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2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97DE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97DE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ListTable2">
    <w:name w:val="List Table 2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76A88" w:themeColor="accent1" w:themeTint="99"/>
        <w:bottom w:val="single" w:sz="4" w:space="0" w:color="F76A88" w:themeColor="accent1" w:themeTint="99"/>
        <w:insideH w:val="single" w:sz="4" w:space="0" w:color="F76A8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193FB" w:themeColor="accent2" w:themeTint="99"/>
        <w:bottom w:val="single" w:sz="4" w:space="0" w:color="8193FB" w:themeColor="accent2" w:themeTint="99"/>
        <w:insideH w:val="single" w:sz="4" w:space="0" w:color="8193F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EF60" w:themeColor="accent3" w:themeTint="99"/>
        <w:bottom w:val="single" w:sz="4" w:space="0" w:color="FFEF60" w:themeColor="accent3" w:themeTint="99"/>
        <w:insideH w:val="single" w:sz="4" w:space="0" w:color="FFEF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EE086" w:themeColor="accent4" w:themeTint="99"/>
        <w:bottom w:val="single" w:sz="4" w:space="0" w:color="8EE086" w:themeColor="accent4" w:themeTint="99"/>
        <w:insideH w:val="single" w:sz="4" w:space="0" w:color="8EE08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C264" w:themeColor="accent5" w:themeTint="99"/>
        <w:bottom w:val="single" w:sz="4" w:space="0" w:color="FFC264" w:themeColor="accent5" w:themeTint="99"/>
        <w:insideH w:val="single" w:sz="4" w:space="0" w:color="FFC26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97DE5" w:themeColor="accent6" w:themeTint="99"/>
        <w:bottom w:val="single" w:sz="4" w:space="0" w:color="B97DE5" w:themeColor="accent6" w:themeTint="99"/>
        <w:insideH w:val="single" w:sz="4" w:space="0" w:color="B97DE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ListTable3">
    <w:name w:val="List Table 3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EE0C3D" w:themeColor="accent1"/>
        <w:left w:val="single" w:sz="4" w:space="0" w:color="EE0C3D" w:themeColor="accent1"/>
        <w:bottom w:val="single" w:sz="4" w:space="0" w:color="EE0C3D" w:themeColor="accent1"/>
        <w:right w:val="single" w:sz="4" w:space="0" w:color="EE0C3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0C3D" w:themeFill="accent1"/>
      </w:tcPr>
    </w:tblStylePr>
    <w:tblStylePr w:type="lastRow">
      <w:rPr>
        <w:b/>
        <w:bCs/>
      </w:rPr>
      <w:tblPr/>
      <w:tcPr>
        <w:tcBorders>
          <w:top w:val="double" w:sz="4" w:space="0" w:color="EE0C3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0C3D" w:themeColor="accent1"/>
          <w:right w:val="single" w:sz="4" w:space="0" w:color="EE0C3D" w:themeColor="accent1"/>
        </w:tcBorders>
      </w:tcPr>
    </w:tblStylePr>
    <w:tblStylePr w:type="band1Horz">
      <w:tblPr/>
      <w:tcPr>
        <w:tcBorders>
          <w:top w:val="single" w:sz="4" w:space="0" w:color="EE0C3D" w:themeColor="accent1"/>
          <w:bottom w:val="single" w:sz="4" w:space="0" w:color="EE0C3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0C3D" w:themeColor="accent1"/>
          <w:left w:val="nil"/>
        </w:tcBorders>
      </w:tcPr>
    </w:tblStylePr>
    <w:tblStylePr w:type="swCell">
      <w:tblPr/>
      <w:tcPr>
        <w:tcBorders>
          <w:top w:val="double" w:sz="4" w:space="0" w:color="EE0C3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2E4DF9" w:themeColor="accent2"/>
        <w:left w:val="single" w:sz="4" w:space="0" w:color="2E4DF9" w:themeColor="accent2"/>
        <w:bottom w:val="single" w:sz="4" w:space="0" w:color="2E4DF9" w:themeColor="accent2"/>
        <w:right w:val="single" w:sz="4" w:space="0" w:color="2E4DF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E4DF9" w:themeFill="accent2"/>
      </w:tcPr>
    </w:tblStylePr>
    <w:tblStylePr w:type="lastRow">
      <w:rPr>
        <w:b/>
        <w:bCs/>
      </w:rPr>
      <w:tblPr/>
      <w:tcPr>
        <w:tcBorders>
          <w:top w:val="double" w:sz="4" w:space="0" w:color="2E4DF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E4DF9" w:themeColor="accent2"/>
          <w:right w:val="single" w:sz="4" w:space="0" w:color="2E4DF9" w:themeColor="accent2"/>
        </w:tcBorders>
      </w:tcPr>
    </w:tblStylePr>
    <w:tblStylePr w:type="band1Horz">
      <w:tblPr/>
      <w:tcPr>
        <w:tcBorders>
          <w:top w:val="single" w:sz="4" w:space="0" w:color="2E4DF9" w:themeColor="accent2"/>
          <w:bottom w:val="single" w:sz="4" w:space="0" w:color="2E4DF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E4DF9" w:themeColor="accent2"/>
          <w:left w:val="nil"/>
        </w:tcBorders>
      </w:tcPr>
    </w:tblStylePr>
    <w:tblStylePr w:type="swCell">
      <w:tblPr/>
      <w:tcPr>
        <w:tcBorders>
          <w:top w:val="double" w:sz="4" w:space="0" w:color="2E4DF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6DE00" w:themeColor="accent3"/>
        <w:left w:val="single" w:sz="4" w:space="0" w:color="F6DE00" w:themeColor="accent3"/>
        <w:bottom w:val="single" w:sz="4" w:space="0" w:color="F6DE00" w:themeColor="accent3"/>
        <w:right w:val="single" w:sz="4" w:space="0" w:color="F6DE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DE00" w:themeFill="accent3"/>
      </w:tcPr>
    </w:tblStylePr>
    <w:tblStylePr w:type="lastRow">
      <w:rPr>
        <w:b/>
        <w:bCs/>
      </w:rPr>
      <w:tblPr/>
      <w:tcPr>
        <w:tcBorders>
          <w:top w:val="double" w:sz="4" w:space="0" w:color="F6DE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DE00" w:themeColor="accent3"/>
          <w:right w:val="single" w:sz="4" w:space="0" w:color="F6DE00" w:themeColor="accent3"/>
        </w:tcBorders>
      </w:tcPr>
    </w:tblStylePr>
    <w:tblStylePr w:type="band1Horz">
      <w:tblPr/>
      <w:tcPr>
        <w:tcBorders>
          <w:top w:val="single" w:sz="4" w:space="0" w:color="F6DE00" w:themeColor="accent3"/>
          <w:bottom w:val="single" w:sz="4" w:space="0" w:color="F6DE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DE00" w:themeColor="accent3"/>
          <w:left w:val="nil"/>
        </w:tcBorders>
      </w:tcPr>
    </w:tblStylePr>
    <w:tblStylePr w:type="swCell">
      <w:tblPr/>
      <w:tcPr>
        <w:tcBorders>
          <w:top w:val="double" w:sz="4" w:space="0" w:color="F6DE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44CC36" w:themeColor="accent4"/>
        <w:left w:val="single" w:sz="4" w:space="0" w:color="44CC36" w:themeColor="accent4"/>
        <w:bottom w:val="single" w:sz="4" w:space="0" w:color="44CC36" w:themeColor="accent4"/>
        <w:right w:val="single" w:sz="4" w:space="0" w:color="44CC3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CC36" w:themeFill="accent4"/>
      </w:tcPr>
    </w:tblStylePr>
    <w:tblStylePr w:type="lastRow">
      <w:rPr>
        <w:b/>
        <w:bCs/>
      </w:rPr>
      <w:tblPr/>
      <w:tcPr>
        <w:tcBorders>
          <w:top w:val="double" w:sz="4" w:space="0" w:color="44CC3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CC36" w:themeColor="accent4"/>
          <w:right w:val="single" w:sz="4" w:space="0" w:color="44CC36" w:themeColor="accent4"/>
        </w:tcBorders>
      </w:tcPr>
    </w:tblStylePr>
    <w:tblStylePr w:type="band1Horz">
      <w:tblPr/>
      <w:tcPr>
        <w:tcBorders>
          <w:top w:val="single" w:sz="4" w:space="0" w:color="44CC36" w:themeColor="accent4"/>
          <w:bottom w:val="single" w:sz="4" w:space="0" w:color="44CC3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CC36" w:themeColor="accent4"/>
          <w:left w:val="nil"/>
        </w:tcBorders>
      </w:tcPr>
    </w:tblStylePr>
    <w:tblStylePr w:type="swCell">
      <w:tblPr/>
      <w:tcPr>
        <w:tcBorders>
          <w:top w:val="double" w:sz="4" w:space="0" w:color="44CC3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C9B00" w:themeColor="accent5"/>
        <w:left w:val="single" w:sz="4" w:space="0" w:color="FC9B00" w:themeColor="accent5"/>
        <w:bottom w:val="single" w:sz="4" w:space="0" w:color="FC9B00" w:themeColor="accent5"/>
        <w:right w:val="single" w:sz="4" w:space="0" w:color="FC9B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9B00" w:themeFill="accent5"/>
      </w:tcPr>
    </w:tblStylePr>
    <w:tblStylePr w:type="lastRow">
      <w:rPr>
        <w:b/>
        <w:bCs/>
      </w:rPr>
      <w:tblPr/>
      <w:tcPr>
        <w:tcBorders>
          <w:top w:val="double" w:sz="4" w:space="0" w:color="FC9B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9B00" w:themeColor="accent5"/>
          <w:right w:val="single" w:sz="4" w:space="0" w:color="FC9B00" w:themeColor="accent5"/>
        </w:tcBorders>
      </w:tcPr>
    </w:tblStylePr>
    <w:tblStylePr w:type="band1Horz">
      <w:tblPr/>
      <w:tcPr>
        <w:tcBorders>
          <w:top w:val="single" w:sz="4" w:space="0" w:color="FC9B00" w:themeColor="accent5"/>
          <w:bottom w:val="single" w:sz="4" w:space="0" w:color="FC9B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9B00" w:themeColor="accent5"/>
          <w:left w:val="nil"/>
        </w:tcBorders>
      </w:tcPr>
    </w:tblStylePr>
    <w:tblStylePr w:type="swCell">
      <w:tblPr/>
      <w:tcPr>
        <w:tcBorders>
          <w:top w:val="double" w:sz="4" w:space="0" w:color="FC9B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C29D3" w:themeColor="accent6"/>
        <w:left w:val="single" w:sz="4" w:space="0" w:color="8C29D3" w:themeColor="accent6"/>
        <w:bottom w:val="single" w:sz="4" w:space="0" w:color="8C29D3" w:themeColor="accent6"/>
        <w:right w:val="single" w:sz="4" w:space="0" w:color="8C29D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C29D3" w:themeFill="accent6"/>
      </w:tcPr>
    </w:tblStylePr>
    <w:tblStylePr w:type="lastRow">
      <w:rPr>
        <w:b/>
        <w:bCs/>
      </w:rPr>
      <w:tblPr/>
      <w:tcPr>
        <w:tcBorders>
          <w:top w:val="double" w:sz="4" w:space="0" w:color="8C29D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C29D3" w:themeColor="accent6"/>
          <w:right w:val="single" w:sz="4" w:space="0" w:color="8C29D3" w:themeColor="accent6"/>
        </w:tcBorders>
      </w:tcPr>
    </w:tblStylePr>
    <w:tblStylePr w:type="band1Horz">
      <w:tblPr/>
      <w:tcPr>
        <w:tcBorders>
          <w:top w:val="single" w:sz="4" w:space="0" w:color="8C29D3" w:themeColor="accent6"/>
          <w:bottom w:val="single" w:sz="4" w:space="0" w:color="8C29D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C29D3" w:themeColor="accent6"/>
          <w:left w:val="nil"/>
        </w:tcBorders>
      </w:tcPr>
    </w:tblStylePr>
    <w:tblStylePr w:type="swCell">
      <w:tblPr/>
      <w:tcPr>
        <w:tcBorders>
          <w:top w:val="double" w:sz="4" w:space="0" w:color="8C29D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76A88" w:themeColor="accent1" w:themeTint="99"/>
        <w:left w:val="single" w:sz="4" w:space="0" w:color="F76A88" w:themeColor="accent1" w:themeTint="99"/>
        <w:bottom w:val="single" w:sz="4" w:space="0" w:color="F76A88" w:themeColor="accent1" w:themeTint="99"/>
        <w:right w:val="single" w:sz="4" w:space="0" w:color="F76A88" w:themeColor="accent1" w:themeTint="99"/>
        <w:insideH w:val="single" w:sz="4" w:space="0" w:color="F76A8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0C3D" w:themeColor="accent1"/>
          <w:left w:val="single" w:sz="4" w:space="0" w:color="EE0C3D" w:themeColor="accent1"/>
          <w:bottom w:val="single" w:sz="4" w:space="0" w:color="EE0C3D" w:themeColor="accent1"/>
          <w:right w:val="single" w:sz="4" w:space="0" w:color="EE0C3D" w:themeColor="accent1"/>
          <w:insideH w:val="nil"/>
        </w:tcBorders>
        <w:shd w:val="clear" w:color="auto" w:fill="EE0C3D" w:themeFill="accent1"/>
      </w:tcPr>
    </w:tblStylePr>
    <w:tblStylePr w:type="lastRow">
      <w:rPr>
        <w:b/>
        <w:bCs/>
      </w:rPr>
      <w:tblPr/>
      <w:tcPr>
        <w:tcBorders>
          <w:top w:val="double" w:sz="4" w:space="0" w:color="F76A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193FB" w:themeColor="accent2" w:themeTint="99"/>
        <w:left w:val="single" w:sz="4" w:space="0" w:color="8193FB" w:themeColor="accent2" w:themeTint="99"/>
        <w:bottom w:val="single" w:sz="4" w:space="0" w:color="8193FB" w:themeColor="accent2" w:themeTint="99"/>
        <w:right w:val="single" w:sz="4" w:space="0" w:color="8193FB" w:themeColor="accent2" w:themeTint="99"/>
        <w:insideH w:val="single" w:sz="4" w:space="0" w:color="8193F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4DF9" w:themeColor="accent2"/>
          <w:left w:val="single" w:sz="4" w:space="0" w:color="2E4DF9" w:themeColor="accent2"/>
          <w:bottom w:val="single" w:sz="4" w:space="0" w:color="2E4DF9" w:themeColor="accent2"/>
          <w:right w:val="single" w:sz="4" w:space="0" w:color="2E4DF9" w:themeColor="accent2"/>
          <w:insideH w:val="nil"/>
        </w:tcBorders>
        <w:shd w:val="clear" w:color="auto" w:fill="2E4DF9" w:themeFill="accent2"/>
      </w:tcPr>
    </w:tblStylePr>
    <w:tblStylePr w:type="lastRow">
      <w:rPr>
        <w:b/>
        <w:bCs/>
      </w:rPr>
      <w:tblPr/>
      <w:tcPr>
        <w:tcBorders>
          <w:top w:val="double" w:sz="4" w:space="0" w:color="8193F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EF60" w:themeColor="accent3" w:themeTint="99"/>
        <w:left w:val="single" w:sz="4" w:space="0" w:color="FFEF60" w:themeColor="accent3" w:themeTint="99"/>
        <w:bottom w:val="single" w:sz="4" w:space="0" w:color="FFEF60" w:themeColor="accent3" w:themeTint="99"/>
        <w:right w:val="single" w:sz="4" w:space="0" w:color="FFEF60" w:themeColor="accent3" w:themeTint="99"/>
        <w:insideH w:val="single" w:sz="4" w:space="0" w:color="FFEF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DE00" w:themeColor="accent3"/>
          <w:left w:val="single" w:sz="4" w:space="0" w:color="F6DE00" w:themeColor="accent3"/>
          <w:bottom w:val="single" w:sz="4" w:space="0" w:color="F6DE00" w:themeColor="accent3"/>
          <w:right w:val="single" w:sz="4" w:space="0" w:color="F6DE00" w:themeColor="accent3"/>
          <w:insideH w:val="nil"/>
        </w:tcBorders>
        <w:shd w:val="clear" w:color="auto" w:fill="F6DE00" w:themeFill="accent3"/>
      </w:tcPr>
    </w:tblStylePr>
    <w:tblStylePr w:type="lastRow">
      <w:rPr>
        <w:b/>
        <w:bCs/>
      </w:rPr>
      <w:tblPr/>
      <w:tcPr>
        <w:tcBorders>
          <w:top w:val="double" w:sz="4" w:space="0" w:color="FFEF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EE086" w:themeColor="accent4" w:themeTint="99"/>
        <w:left w:val="single" w:sz="4" w:space="0" w:color="8EE086" w:themeColor="accent4" w:themeTint="99"/>
        <w:bottom w:val="single" w:sz="4" w:space="0" w:color="8EE086" w:themeColor="accent4" w:themeTint="99"/>
        <w:right w:val="single" w:sz="4" w:space="0" w:color="8EE086" w:themeColor="accent4" w:themeTint="99"/>
        <w:insideH w:val="single" w:sz="4" w:space="0" w:color="8EE08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C36" w:themeColor="accent4"/>
          <w:left w:val="single" w:sz="4" w:space="0" w:color="44CC36" w:themeColor="accent4"/>
          <w:bottom w:val="single" w:sz="4" w:space="0" w:color="44CC36" w:themeColor="accent4"/>
          <w:right w:val="single" w:sz="4" w:space="0" w:color="44CC36" w:themeColor="accent4"/>
          <w:insideH w:val="nil"/>
        </w:tcBorders>
        <w:shd w:val="clear" w:color="auto" w:fill="44CC36" w:themeFill="accent4"/>
      </w:tcPr>
    </w:tblStylePr>
    <w:tblStylePr w:type="lastRow">
      <w:rPr>
        <w:b/>
        <w:bCs/>
      </w:rPr>
      <w:tblPr/>
      <w:tcPr>
        <w:tcBorders>
          <w:top w:val="double" w:sz="4" w:space="0" w:color="8EE0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C264" w:themeColor="accent5" w:themeTint="99"/>
        <w:left w:val="single" w:sz="4" w:space="0" w:color="FFC264" w:themeColor="accent5" w:themeTint="99"/>
        <w:bottom w:val="single" w:sz="4" w:space="0" w:color="FFC264" w:themeColor="accent5" w:themeTint="99"/>
        <w:right w:val="single" w:sz="4" w:space="0" w:color="FFC264" w:themeColor="accent5" w:themeTint="99"/>
        <w:insideH w:val="single" w:sz="4" w:space="0" w:color="FFC2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9B00" w:themeColor="accent5"/>
          <w:left w:val="single" w:sz="4" w:space="0" w:color="FC9B00" w:themeColor="accent5"/>
          <w:bottom w:val="single" w:sz="4" w:space="0" w:color="FC9B00" w:themeColor="accent5"/>
          <w:right w:val="single" w:sz="4" w:space="0" w:color="FC9B00" w:themeColor="accent5"/>
          <w:insideH w:val="nil"/>
        </w:tcBorders>
        <w:shd w:val="clear" w:color="auto" w:fill="FC9B00" w:themeFill="accent5"/>
      </w:tcPr>
    </w:tblStylePr>
    <w:tblStylePr w:type="lastRow">
      <w:rPr>
        <w:b/>
        <w:bCs/>
      </w:rPr>
      <w:tblPr/>
      <w:tcPr>
        <w:tcBorders>
          <w:top w:val="double" w:sz="4" w:space="0" w:color="FFC2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97DE5" w:themeColor="accent6" w:themeTint="99"/>
        <w:left w:val="single" w:sz="4" w:space="0" w:color="B97DE5" w:themeColor="accent6" w:themeTint="99"/>
        <w:bottom w:val="single" w:sz="4" w:space="0" w:color="B97DE5" w:themeColor="accent6" w:themeTint="99"/>
        <w:right w:val="single" w:sz="4" w:space="0" w:color="B97DE5" w:themeColor="accent6" w:themeTint="99"/>
        <w:insideH w:val="single" w:sz="4" w:space="0" w:color="B97DE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29D3" w:themeColor="accent6"/>
          <w:left w:val="single" w:sz="4" w:space="0" w:color="8C29D3" w:themeColor="accent6"/>
          <w:bottom w:val="single" w:sz="4" w:space="0" w:color="8C29D3" w:themeColor="accent6"/>
          <w:right w:val="single" w:sz="4" w:space="0" w:color="8C29D3" w:themeColor="accent6"/>
          <w:insideH w:val="nil"/>
        </w:tcBorders>
        <w:shd w:val="clear" w:color="auto" w:fill="8C29D3" w:themeFill="accent6"/>
      </w:tcPr>
    </w:tblStylePr>
    <w:tblStylePr w:type="lastRow">
      <w:rPr>
        <w:b/>
        <w:bCs/>
      </w:rPr>
      <w:tblPr/>
      <w:tcPr>
        <w:tcBorders>
          <w:top w:val="double" w:sz="4" w:space="0" w:color="B97DE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0C3D" w:themeColor="accent1"/>
        <w:left w:val="single" w:sz="24" w:space="0" w:color="EE0C3D" w:themeColor="accent1"/>
        <w:bottom w:val="single" w:sz="24" w:space="0" w:color="EE0C3D" w:themeColor="accent1"/>
        <w:right w:val="single" w:sz="24" w:space="0" w:color="EE0C3D" w:themeColor="accent1"/>
      </w:tblBorders>
    </w:tblPr>
    <w:tcPr>
      <w:shd w:val="clear" w:color="auto" w:fill="EE0C3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E4DF9" w:themeColor="accent2"/>
        <w:left w:val="single" w:sz="24" w:space="0" w:color="2E4DF9" w:themeColor="accent2"/>
        <w:bottom w:val="single" w:sz="24" w:space="0" w:color="2E4DF9" w:themeColor="accent2"/>
        <w:right w:val="single" w:sz="24" w:space="0" w:color="2E4DF9" w:themeColor="accent2"/>
      </w:tblBorders>
    </w:tblPr>
    <w:tcPr>
      <w:shd w:val="clear" w:color="auto" w:fill="2E4DF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DE00" w:themeColor="accent3"/>
        <w:left w:val="single" w:sz="24" w:space="0" w:color="F6DE00" w:themeColor="accent3"/>
        <w:bottom w:val="single" w:sz="24" w:space="0" w:color="F6DE00" w:themeColor="accent3"/>
        <w:right w:val="single" w:sz="24" w:space="0" w:color="F6DE00" w:themeColor="accent3"/>
      </w:tblBorders>
    </w:tblPr>
    <w:tcPr>
      <w:shd w:val="clear" w:color="auto" w:fill="F6DE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CC36" w:themeColor="accent4"/>
        <w:left w:val="single" w:sz="24" w:space="0" w:color="44CC36" w:themeColor="accent4"/>
        <w:bottom w:val="single" w:sz="24" w:space="0" w:color="44CC36" w:themeColor="accent4"/>
        <w:right w:val="single" w:sz="24" w:space="0" w:color="44CC36" w:themeColor="accent4"/>
      </w:tblBorders>
    </w:tblPr>
    <w:tcPr>
      <w:shd w:val="clear" w:color="auto" w:fill="44CC3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C9B00" w:themeColor="accent5"/>
        <w:left w:val="single" w:sz="24" w:space="0" w:color="FC9B00" w:themeColor="accent5"/>
        <w:bottom w:val="single" w:sz="24" w:space="0" w:color="FC9B00" w:themeColor="accent5"/>
        <w:right w:val="single" w:sz="24" w:space="0" w:color="FC9B00" w:themeColor="accent5"/>
      </w:tblBorders>
    </w:tblPr>
    <w:tcPr>
      <w:shd w:val="clear" w:color="auto" w:fill="FC9B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C29D3" w:themeColor="accent6"/>
        <w:left w:val="single" w:sz="24" w:space="0" w:color="8C29D3" w:themeColor="accent6"/>
        <w:bottom w:val="single" w:sz="24" w:space="0" w:color="8C29D3" w:themeColor="accent6"/>
        <w:right w:val="single" w:sz="24" w:space="0" w:color="8C29D3" w:themeColor="accent6"/>
      </w:tblBorders>
    </w:tblPr>
    <w:tcPr>
      <w:shd w:val="clear" w:color="auto" w:fill="8C29D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A6EC5"/>
    <w:pPr>
      <w:spacing w:before="0" w:after="0" w:line="240" w:lineRule="auto"/>
    </w:pPr>
    <w:rPr>
      <w:color w:val="B2092D" w:themeColor="accent1" w:themeShade="BF"/>
    </w:rPr>
    <w:tblPr>
      <w:tblStyleRowBandSize w:val="1"/>
      <w:tblStyleColBandSize w:val="1"/>
      <w:tblBorders>
        <w:top w:val="single" w:sz="4" w:space="0" w:color="EE0C3D" w:themeColor="accent1"/>
        <w:bottom w:val="single" w:sz="4" w:space="0" w:color="EE0C3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E0C3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E0C3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A6EC5"/>
    <w:pPr>
      <w:spacing w:before="0" w:after="0" w:line="240" w:lineRule="auto"/>
    </w:pPr>
    <w:rPr>
      <w:color w:val="0625D6" w:themeColor="accent2" w:themeShade="BF"/>
    </w:rPr>
    <w:tblPr>
      <w:tblStyleRowBandSize w:val="1"/>
      <w:tblStyleColBandSize w:val="1"/>
      <w:tblBorders>
        <w:top w:val="single" w:sz="4" w:space="0" w:color="2E4DF9" w:themeColor="accent2"/>
        <w:bottom w:val="single" w:sz="4" w:space="0" w:color="2E4DF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E4DF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E4DF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A6EC5"/>
    <w:pPr>
      <w:spacing w:before="0" w:after="0" w:line="240" w:lineRule="auto"/>
    </w:pPr>
    <w:rPr>
      <w:color w:val="B8A500" w:themeColor="accent3" w:themeShade="BF"/>
    </w:rPr>
    <w:tblPr>
      <w:tblStyleRowBandSize w:val="1"/>
      <w:tblStyleColBandSize w:val="1"/>
      <w:tblBorders>
        <w:top w:val="single" w:sz="4" w:space="0" w:color="F6DE00" w:themeColor="accent3"/>
        <w:bottom w:val="single" w:sz="4" w:space="0" w:color="F6DE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6DE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DE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A6EC5"/>
    <w:pPr>
      <w:spacing w:before="0" w:after="0" w:line="240" w:lineRule="auto"/>
    </w:pPr>
    <w:rPr>
      <w:color w:val="319927" w:themeColor="accent4" w:themeShade="BF"/>
    </w:rPr>
    <w:tblPr>
      <w:tblStyleRowBandSize w:val="1"/>
      <w:tblStyleColBandSize w:val="1"/>
      <w:tblBorders>
        <w:top w:val="single" w:sz="4" w:space="0" w:color="44CC36" w:themeColor="accent4"/>
        <w:bottom w:val="single" w:sz="4" w:space="0" w:color="44CC3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4CC3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4CC3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A6EC5"/>
    <w:pPr>
      <w:spacing w:before="0" w:after="0" w:line="240" w:lineRule="auto"/>
    </w:pPr>
    <w:rPr>
      <w:color w:val="BC7300" w:themeColor="accent5" w:themeShade="BF"/>
    </w:rPr>
    <w:tblPr>
      <w:tblStyleRowBandSize w:val="1"/>
      <w:tblStyleColBandSize w:val="1"/>
      <w:tblBorders>
        <w:top w:val="single" w:sz="4" w:space="0" w:color="FC9B00" w:themeColor="accent5"/>
        <w:bottom w:val="single" w:sz="4" w:space="0" w:color="FC9B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C9B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C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A6EC5"/>
    <w:pPr>
      <w:spacing w:before="0" w:after="0" w:line="240" w:lineRule="auto"/>
    </w:pPr>
    <w:rPr>
      <w:color w:val="681E9D" w:themeColor="accent6" w:themeShade="BF"/>
    </w:rPr>
    <w:tblPr>
      <w:tblStyleRowBandSize w:val="1"/>
      <w:tblStyleColBandSize w:val="1"/>
      <w:tblBorders>
        <w:top w:val="single" w:sz="4" w:space="0" w:color="8C29D3" w:themeColor="accent6"/>
        <w:bottom w:val="single" w:sz="4" w:space="0" w:color="8C29D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C29D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C29D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A6EC5"/>
    <w:pPr>
      <w:spacing w:before="0" w:after="0" w:line="240" w:lineRule="auto"/>
    </w:pPr>
    <w:rPr>
      <w:color w:val="B2092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0C3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0C3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0C3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0C3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A6EC5"/>
    <w:pPr>
      <w:spacing w:before="0" w:after="0" w:line="240" w:lineRule="auto"/>
    </w:pPr>
    <w:rPr>
      <w:color w:val="0625D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E4DF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E4DF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E4DF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E4DF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A6EC5"/>
    <w:pPr>
      <w:spacing w:before="0" w:after="0" w:line="240" w:lineRule="auto"/>
    </w:pPr>
    <w:rPr>
      <w:color w:val="B8A5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DE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DE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DE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DE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A6EC5"/>
    <w:pPr>
      <w:spacing w:before="0" w:after="0" w:line="240" w:lineRule="auto"/>
    </w:pPr>
    <w:rPr>
      <w:color w:val="31992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CC3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CC3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CC3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CC3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A6EC5"/>
    <w:pPr>
      <w:spacing w:before="0" w:after="0" w:line="240" w:lineRule="auto"/>
    </w:pPr>
    <w:rPr>
      <w:color w:val="BC7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C9B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C9B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C9B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C9B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A6EC5"/>
    <w:pPr>
      <w:spacing w:before="0" w:after="0" w:line="240" w:lineRule="auto"/>
    </w:pPr>
    <w:rPr>
      <w:color w:val="681E9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C29D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C29D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C29D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C29D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A6E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0" w:after="0" w:line="260" w:lineRule="atLeast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A6EC5"/>
    <w:rPr>
      <w:rFonts w:ascii="Consolas" w:hAnsi="Consolas"/>
      <w:sz w:val="20"/>
      <w:szCs w:val="20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5456B" w:themeColor="accent1" w:themeTint="BF"/>
        <w:left w:val="single" w:sz="8" w:space="0" w:color="F5456B" w:themeColor="accent1" w:themeTint="BF"/>
        <w:bottom w:val="single" w:sz="8" w:space="0" w:color="F5456B" w:themeColor="accent1" w:themeTint="BF"/>
        <w:right w:val="single" w:sz="8" w:space="0" w:color="F5456B" w:themeColor="accent1" w:themeTint="BF"/>
        <w:insideH w:val="single" w:sz="8" w:space="0" w:color="F5456B" w:themeColor="accent1" w:themeTint="BF"/>
        <w:insideV w:val="single" w:sz="8" w:space="0" w:color="F5456B" w:themeColor="accent1" w:themeTint="BF"/>
      </w:tblBorders>
    </w:tblPr>
    <w:tcPr>
      <w:shd w:val="clear" w:color="auto" w:fill="FCC1C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456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839C" w:themeFill="accent1" w:themeFillTint="7F"/>
      </w:tcPr>
    </w:tblStylePr>
    <w:tblStylePr w:type="band1Horz">
      <w:tblPr/>
      <w:tcPr>
        <w:shd w:val="clear" w:color="auto" w:fill="F8839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278FA" w:themeColor="accent2" w:themeTint="BF"/>
        <w:left w:val="single" w:sz="8" w:space="0" w:color="6278FA" w:themeColor="accent2" w:themeTint="BF"/>
        <w:bottom w:val="single" w:sz="8" w:space="0" w:color="6278FA" w:themeColor="accent2" w:themeTint="BF"/>
        <w:right w:val="single" w:sz="8" w:space="0" w:color="6278FA" w:themeColor="accent2" w:themeTint="BF"/>
        <w:insideH w:val="single" w:sz="8" w:space="0" w:color="6278FA" w:themeColor="accent2" w:themeTint="BF"/>
        <w:insideV w:val="single" w:sz="8" w:space="0" w:color="6278FA" w:themeColor="accent2" w:themeTint="BF"/>
      </w:tblBorders>
    </w:tblPr>
    <w:tcPr>
      <w:shd w:val="clear" w:color="auto" w:fill="CBD2F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78F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A5FC" w:themeFill="accent2" w:themeFillTint="7F"/>
      </w:tcPr>
    </w:tblStylePr>
    <w:tblStylePr w:type="band1Horz">
      <w:tblPr/>
      <w:tcPr>
        <w:shd w:val="clear" w:color="auto" w:fill="96A5F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EB39" w:themeColor="accent3" w:themeTint="BF"/>
        <w:left w:val="single" w:sz="8" w:space="0" w:color="FFEB39" w:themeColor="accent3" w:themeTint="BF"/>
        <w:bottom w:val="single" w:sz="8" w:space="0" w:color="FFEB39" w:themeColor="accent3" w:themeTint="BF"/>
        <w:right w:val="single" w:sz="8" w:space="0" w:color="FFEB39" w:themeColor="accent3" w:themeTint="BF"/>
        <w:insideH w:val="single" w:sz="8" w:space="0" w:color="FFEB39" w:themeColor="accent3" w:themeTint="BF"/>
        <w:insideV w:val="single" w:sz="8" w:space="0" w:color="FFEB39" w:themeColor="accent3" w:themeTint="BF"/>
      </w:tblBorders>
    </w:tblPr>
    <w:tcPr>
      <w:shd w:val="clear" w:color="auto" w:fill="FFF8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B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7B" w:themeFill="accent3" w:themeFillTint="7F"/>
      </w:tcPr>
    </w:tblStylePr>
    <w:tblStylePr w:type="band1Horz">
      <w:tblPr/>
      <w:tcPr>
        <w:shd w:val="clear" w:color="auto" w:fill="FFF27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D868" w:themeColor="accent4" w:themeTint="BF"/>
        <w:left w:val="single" w:sz="8" w:space="0" w:color="72D868" w:themeColor="accent4" w:themeTint="BF"/>
        <w:bottom w:val="single" w:sz="8" w:space="0" w:color="72D868" w:themeColor="accent4" w:themeTint="BF"/>
        <w:right w:val="single" w:sz="8" w:space="0" w:color="72D868" w:themeColor="accent4" w:themeTint="BF"/>
        <w:insideH w:val="single" w:sz="8" w:space="0" w:color="72D868" w:themeColor="accent4" w:themeTint="BF"/>
        <w:insideV w:val="single" w:sz="8" w:space="0" w:color="72D868" w:themeColor="accent4" w:themeTint="BF"/>
      </w:tblBorders>
    </w:tblPr>
    <w:tcPr>
      <w:shd w:val="clear" w:color="auto" w:fill="D0F2C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D86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59A" w:themeFill="accent4" w:themeFillTint="7F"/>
      </w:tcPr>
    </w:tblStylePr>
    <w:tblStylePr w:type="band1Horz">
      <w:tblPr/>
      <w:tcPr>
        <w:shd w:val="clear" w:color="auto" w:fill="A1E59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B33D" w:themeColor="accent5" w:themeTint="BF"/>
        <w:left w:val="single" w:sz="8" w:space="0" w:color="FFB33D" w:themeColor="accent5" w:themeTint="BF"/>
        <w:bottom w:val="single" w:sz="8" w:space="0" w:color="FFB33D" w:themeColor="accent5" w:themeTint="BF"/>
        <w:right w:val="single" w:sz="8" w:space="0" w:color="FFB33D" w:themeColor="accent5" w:themeTint="BF"/>
        <w:insideH w:val="single" w:sz="8" w:space="0" w:color="FFB33D" w:themeColor="accent5" w:themeTint="BF"/>
        <w:insideV w:val="single" w:sz="8" w:space="0" w:color="FFB33D" w:themeColor="accent5" w:themeTint="BF"/>
      </w:tblBorders>
    </w:tblPr>
    <w:tcPr>
      <w:shd w:val="clear" w:color="auto" w:fill="FFE6B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33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D7E" w:themeFill="accent5" w:themeFillTint="7F"/>
      </w:tcPr>
    </w:tblStylePr>
    <w:tblStylePr w:type="band1Horz">
      <w:tblPr/>
      <w:tcPr>
        <w:shd w:val="clear" w:color="auto" w:fill="FFCD7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85DDF" w:themeColor="accent6" w:themeTint="BF"/>
        <w:left w:val="single" w:sz="8" w:space="0" w:color="A85DDF" w:themeColor="accent6" w:themeTint="BF"/>
        <w:bottom w:val="single" w:sz="8" w:space="0" w:color="A85DDF" w:themeColor="accent6" w:themeTint="BF"/>
        <w:right w:val="single" w:sz="8" w:space="0" w:color="A85DDF" w:themeColor="accent6" w:themeTint="BF"/>
        <w:insideH w:val="single" w:sz="8" w:space="0" w:color="A85DDF" w:themeColor="accent6" w:themeTint="BF"/>
        <w:insideV w:val="single" w:sz="8" w:space="0" w:color="A85DDF" w:themeColor="accent6" w:themeTint="BF"/>
      </w:tblBorders>
    </w:tblPr>
    <w:tcPr>
      <w:shd w:val="clear" w:color="auto" w:fill="E2C9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85DD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93EA" w:themeFill="accent6" w:themeFillTint="7F"/>
      </w:tcPr>
    </w:tblStylePr>
    <w:tblStylePr w:type="band1Horz">
      <w:tblPr/>
      <w:tcPr>
        <w:shd w:val="clear" w:color="auto" w:fill="C593E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E0C3D" w:themeColor="accent1"/>
        <w:left w:val="single" w:sz="8" w:space="0" w:color="EE0C3D" w:themeColor="accent1"/>
        <w:bottom w:val="single" w:sz="8" w:space="0" w:color="EE0C3D" w:themeColor="accent1"/>
        <w:right w:val="single" w:sz="8" w:space="0" w:color="EE0C3D" w:themeColor="accent1"/>
        <w:insideH w:val="single" w:sz="8" w:space="0" w:color="EE0C3D" w:themeColor="accent1"/>
        <w:insideV w:val="single" w:sz="8" w:space="0" w:color="EE0C3D" w:themeColor="accent1"/>
      </w:tblBorders>
    </w:tblPr>
    <w:tcPr>
      <w:shd w:val="clear" w:color="auto" w:fill="FCC1C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6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DD7" w:themeFill="accent1" w:themeFillTint="33"/>
      </w:tcPr>
    </w:tblStylePr>
    <w:tblStylePr w:type="band1Vert">
      <w:tblPr/>
      <w:tcPr>
        <w:shd w:val="clear" w:color="auto" w:fill="F8839C" w:themeFill="accent1" w:themeFillTint="7F"/>
      </w:tcPr>
    </w:tblStylePr>
    <w:tblStylePr w:type="band1Horz">
      <w:tblPr/>
      <w:tcPr>
        <w:tcBorders>
          <w:insideH w:val="single" w:sz="6" w:space="0" w:color="EE0C3D" w:themeColor="accent1"/>
          <w:insideV w:val="single" w:sz="6" w:space="0" w:color="EE0C3D" w:themeColor="accent1"/>
        </w:tcBorders>
        <w:shd w:val="clear" w:color="auto" w:fill="F8839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2E4DF9" w:themeColor="accent2"/>
        <w:left w:val="single" w:sz="8" w:space="0" w:color="2E4DF9" w:themeColor="accent2"/>
        <w:bottom w:val="single" w:sz="8" w:space="0" w:color="2E4DF9" w:themeColor="accent2"/>
        <w:right w:val="single" w:sz="8" w:space="0" w:color="2E4DF9" w:themeColor="accent2"/>
        <w:insideH w:val="single" w:sz="8" w:space="0" w:color="2E4DF9" w:themeColor="accent2"/>
        <w:insideV w:val="single" w:sz="8" w:space="0" w:color="2E4DF9" w:themeColor="accent2"/>
      </w:tblBorders>
    </w:tblPr>
    <w:tcPr>
      <w:shd w:val="clear" w:color="auto" w:fill="CBD2F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AEDF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BFD" w:themeFill="accent2" w:themeFillTint="33"/>
      </w:tcPr>
    </w:tblStylePr>
    <w:tblStylePr w:type="band1Vert">
      <w:tblPr/>
      <w:tcPr>
        <w:shd w:val="clear" w:color="auto" w:fill="96A5FC" w:themeFill="accent2" w:themeFillTint="7F"/>
      </w:tcPr>
    </w:tblStylePr>
    <w:tblStylePr w:type="band1Horz">
      <w:tblPr/>
      <w:tcPr>
        <w:tcBorders>
          <w:insideH w:val="single" w:sz="6" w:space="0" w:color="2E4DF9" w:themeColor="accent2"/>
          <w:insideV w:val="single" w:sz="6" w:space="0" w:color="2E4DF9" w:themeColor="accent2"/>
        </w:tcBorders>
        <w:shd w:val="clear" w:color="auto" w:fill="96A5F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6DE00" w:themeColor="accent3"/>
        <w:left w:val="single" w:sz="8" w:space="0" w:color="F6DE00" w:themeColor="accent3"/>
        <w:bottom w:val="single" w:sz="8" w:space="0" w:color="F6DE00" w:themeColor="accent3"/>
        <w:right w:val="single" w:sz="8" w:space="0" w:color="F6DE00" w:themeColor="accent3"/>
        <w:insideH w:val="single" w:sz="8" w:space="0" w:color="F6DE00" w:themeColor="accent3"/>
        <w:insideV w:val="single" w:sz="8" w:space="0" w:color="F6DE00" w:themeColor="accent3"/>
      </w:tblBorders>
    </w:tblPr>
    <w:tcPr>
      <w:shd w:val="clear" w:color="auto" w:fill="FFF8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C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9CA" w:themeFill="accent3" w:themeFillTint="33"/>
      </w:tcPr>
    </w:tblStylePr>
    <w:tblStylePr w:type="band1Vert">
      <w:tblPr/>
      <w:tcPr>
        <w:shd w:val="clear" w:color="auto" w:fill="FFF27B" w:themeFill="accent3" w:themeFillTint="7F"/>
      </w:tcPr>
    </w:tblStylePr>
    <w:tblStylePr w:type="band1Horz">
      <w:tblPr/>
      <w:tcPr>
        <w:tcBorders>
          <w:insideH w:val="single" w:sz="6" w:space="0" w:color="F6DE00" w:themeColor="accent3"/>
          <w:insideV w:val="single" w:sz="6" w:space="0" w:color="F6DE00" w:themeColor="accent3"/>
        </w:tcBorders>
        <w:shd w:val="clear" w:color="auto" w:fill="FFF2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44CC36" w:themeColor="accent4"/>
        <w:left w:val="single" w:sz="8" w:space="0" w:color="44CC36" w:themeColor="accent4"/>
        <w:bottom w:val="single" w:sz="8" w:space="0" w:color="44CC36" w:themeColor="accent4"/>
        <w:right w:val="single" w:sz="8" w:space="0" w:color="44CC36" w:themeColor="accent4"/>
        <w:insideH w:val="single" w:sz="8" w:space="0" w:color="44CC36" w:themeColor="accent4"/>
        <w:insideV w:val="single" w:sz="8" w:space="0" w:color="44CC36" w:themeColor="accent4"/>
      </w:tblBorders>
    </w:tblPr>
    <w:tcPr>
      <w:shd w:val="clear" w:color="auto" w:fill="D0F2C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A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4D6" w:themeFill="accent4" w:themeFillTint="33"/>
      </w:tcPr>
    </w:tblStylePr>
    <w:tblStylePr w:type="band1Vert">
      <w:tblPr/>
      <w:tcPr>
        <w:shd w:val="clear" w:color="auto" w:fill="A1E59A" w:themeFill="accent4" w:themeFillTint="7F"/>
      </w:tcPr>
    </w:tblStylePr>
    <w:tblStylePr w:type="band1Horz">
      <w:tblPr/>
      <w:tcPr>
        <w:tcBorders>
          <w:insideH w:val="single" w:sz="6" w:space="0" w:color="44CC36" w:themeColor="accent4"/>
          <w:insideV w:val="single" w:sz="6" w:space="0" w:color="44CC36" w:themeColor="accent4"/>
        </w:tcBorders>
        <w:shd w:val="clear" w:color="auto" w:fill="A1E59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C9B00" w:themeColor="accent5"/>
        <w:left w:val="single" w:sz="8" w:space="0" w:color="FC9B00" w:themeColor="accent5"/>
        <w:bottom w:val="single" w:sz="8" w:space="0" w:color="FC9B00" w:themeColor="accent5"/>
        <w:right w:val="single" w:sz="8" w:space="0" w:color="FC9B00" w:themeColor="accent5"/>
        <w:insideH w:val="single" w:sz="8" w:space="0" w:color="FC9B00" w:themeColor="accent5"/>
        <w:insideV w:val="single" w:sz="8" w:space="0" w:color="FC9B00" w:themeColor="accent5"/>
      </w:tblBorders>
    </w:tblPr>
    <w:tcPr>
      <w:shd w:val="clear" w:color="auto" w:fill="FFE6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CB" w:themeFill="accent5" w:themeFillTint="33"/>
      </w:tcPr>
    </w:tblStylePr>
    <w:tblStylePr w:type="band1Vert">
      <w:tblPr/>
      <w:tcPr>
        <w:shd w:val="clear" w:color="auto" w:fill="FFCD7E" w:themeFill="accent5" w:themeFillTint="7F"/>
      </w:tcPr>
    </w:tblStylePr>
    <w:tblStylePr w:type="band1Horz">
      <w:tblPr/>
      <w:tcPr>
        <w:tcBorders>
          <w:insideH w:val="single" w:sz="6" w:space="0" w:color="FC9B00" w:themeColor="accent5"/>
          <w:insideV w:val="single" w:sz="6" w:space="0" w:color="FC9B00" w:themeColor="accent5"/>
        </w:tcBorders>
        <w:shd w:val="clear" w:color="auto" w:fill="FFCD7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8C29D3" w:themeColor="accent6"/>
        <w:left w:val="single" w:sz="8" w:space="0" w:color="8C29D3" w:themeColor="accent6"/>
        <w:bottom w:val="single" w:sz="8" w:space="0" w:color="8C29D3" w:themeColor="accent6"/>
        <w:right w:val="single" w:sz="8" w:space="0" w:color="8C29D3" w:themeColor="accent6"/>
        <w:insideH w:val="single" w:sz="8" w:space="0" w:color="8C29D3" w:themeColor="accent6"/>
        <w:insideV w:val="single" w:sz="8" w:space="0" w:color="8C29D3" w:themeColor="accent6"/>
      </w:tblBorders>
    </w:tblPr>
    <w:tcPr>
      <w:shd w:val="clear" w:color="auto" w:fill="E2C9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E9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3F6" w:themeFill="accent6" w:themeFillTint="33"/>
      </w:tcPr>
    </w:tblStylePr>
    <w:tblStylePr w:type="band1Vert">
      <w:tblPr/>
      <w:tcPr>
        <w:shd w:val="clear" w:color="auto" w:fill="C593EA" w:themeFill="accent6" w:themeFillTint="7F"/>
      </w:tcPr>
    </w:tblStylePr>
    <w:tblStylePr w:type="band1Horz">
      <w:tblPr/>
      <w:tcPr>
        <w:tcBorders>
          <w:insideH w:val="single" w:sz="6" w:space="0" w:color="8C29D3" w:themeColor="accent6"/>
          <w:insideV w:val="single" w:sz="6" w:space="0" w:color="8C29D3" w:themeColor="accent6"/>
        </w:tcBorders>
        <w:shd w:val="clear" w:color="auto" w:fill="C593E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C1C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0C3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0C3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0C3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0C3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839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839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D2F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4DF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4DF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E4DF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E4DF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A5F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A5F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8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DE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DE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DE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DE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2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27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F2C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C3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C3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CC3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CC3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E59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E59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6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B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B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9B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9B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D7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D7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9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29D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29D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C29D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C29D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93E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93E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0C3D" w:themeColor="accent1"/>
        <w:bottom w:val="single" w:sz="8" w:space="0" w:color="EE0C3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0C3D" w:themeColor="accent1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EE0C3D" w:themeColor="accent1"/>
          <w:bottom w:val="single" w:sz="8" w:space="0" w:color="EE0C3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0C3D" w:themeColor="accent1"/>
          <w:bottom w:val="single" w:sz="8" w:space="0" w:color="EE0C3D" w:themeColor="accent1"/>
        </w:tcBorders>
      </w:tcPr>
    </w:tblStylePr>
    <w:tblStylePr w:type="band1Vert">
      <w:tblPr/>
      <w:tcPr>
        <w:shd w:val="clear" w:color="auto" w:fill="FCC1CE" w:themeFill="accent1" w:themeFillTint="3F"/>
      </w:tcPr>
    </w:tblStylePr>
    <w:tblStylePr w:type="band1Horz">
      <w:tblPr/>
      <w:tcPr>
        <w:shd w:val="clear" w:color="auto" w:fill="FCC1C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E4DF9" w:themeColor="accent2"/>
        <w:bottom w:val="single" w:sz="8" w:space="0" w:color="2E4DF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E4DF9" w:themeColor="accent2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2E4DF9" w:themeColor="accent2"/>
          <w:bottom w:val="single" w:sz="8" w:space="0" w:color="2E4DF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E4DF9" w:themeColor="accent2"/>
          <w:bottom w:val="single" w:sz="8" w:space="0" w:color="2E4DF9" w:themeColor="accent2"/>
        </w:tcBorders>
      </w:tcPr>
    </w:tblStylePr>
    <w:tblStylePr w:type="band1Vert">
      <w:tblPr/>
      <w:tcPr>
        <w:shd w:val="clear" w:color="auto" w:fill="CBD2FD" w:themeFill="accent2" w:themeFillTint="3F"/>
      </w:tcPr>
    </w:tblStylePr>
    <w:tblStylePr w:type="band1Horz">
      <w:tblPr/>
      <w:tcPr>
        <w:shd w:val="clear" w:color="auto" w:fill="CBD2F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6DE00" w:themeColor="accent3"/>
        <w:bottom w:val="single" w:sz="8" w:space="0" w:color="F6DE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DE00" w:themeColor="accent3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F6DE00" w:themeColor="accent3"/>
          <w:bottom w:val="single" w:sz="8" w:space="0" w:color="F6DE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DE00" w:themeColor="accent3"/>
          <w:bottom w:val="single" w:sz="8" w:space="0" w:color="F6DE00" w:themeColor="accent3"/>
        </w:tcBorders>
      </w:tcPr>
    </w:tblStylePr>
    <w:tblStylePr w:type="band1Vert">
      <w:tblPr/>
      <w:tcPr>
        <w:shd w:val="clear" w:color="auto" w:fill="FFF8BD" w:themeFill="accent3" w:themeFillTint="3F"/>
      </w:tcPr>
    </w:tblStylePr>
    <w:tblStylePr w:type="band1Horz">
      <w:tblPr/>
      <w:tcPr>
        <w:shd w:val="clear" w:color="auto" w:fill="FFF8B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CC36" w:themeColor="accent4"/>
        <w:bottom w:val="single" w:sz="8" w:space="0" w:color="44CC3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CC36" w:themeColor="accent4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44CC36" w:themeColor="accent4"/>
          <w:bottom w:val="single" w:sz="8" w:space="0" w:color="44CC3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CC36" w:themeColor="accent4"/>
          <w:bottom w:val="single" w:sz="8" w:space="0" w:color="44CC36" w:themeColor="accent4"/>
        </w:tcBorders>
      </w:tcPr>
    </w:tblStylePr>
    <w:tblStylePr w:type="band1Vert">
      <w:tblPr/>
      <w:tcPr>
        <w:shd w:val="clear" w:color="auto" w:fill="D0F2CD" w:themeFill="accent4" w:themeFillTint="3F"/>
      </w:tcPr>
    </w:tblStylePr>
    <w:tblStylePr w:type="band1Horz">
      <w:tblPr/>
      <w:tcPr>
        <w:shd w:val="clear" w:color="auto" w:fill="D0F2C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C9B00" w:themeColor="accent5"/>
        <w:bottom w:val="single" w:sz="8" w:space="0" w:color="FC9B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9B00" w:themeColor="accent5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FC9B00" w:themeColor="accent5"/>
          <w:bottom w:val="single" w:sz="8" w:space="0" w:color="FC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9B00" w:themeColor="accent5"/>
          <w:bottom w:val="single" w:sz="8" w:space="0" w:color="FC9B00" w:themeColor="accent5"/>
        </w:tcBorders>
      </w:tcPr>
    </w:tblStylePr>
    <w:tblStylePr w:type="band1Vert">
      <w:tblPr/>
      <w:tcPr>
        <w:shd w:val="clear" w:color="auto" w:fill="FFE6BF" w:themeFill="accent5" w:themeFillTint="3F"/>
      </w:tcPr>
    </w:tblStylePr>
    <w:tblStylePr w:type="band1Horz">
      <w:tblPr/>
      <w:tcPr>
        <w:shd w:val="clear" w:color="auto" w:fill="FFE6B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C29D3" w:themeColor="accent6"/>
        <w:bottom w:val="single" w:sz="8" w:space="0" w:color="8C29D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C29D3" w:themeColor="accent6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8C29D3" w:themeColor="accent6"/>
          <w:bottom w:val="single" w:sz="8" w:space="0" w:color="8C29D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C29D3" w:themeColor="accent6"/>
          <w:bottom w:val="single" w:sz="8" w:space="0" w:color="8C29D3" w:themeColor="accent6"/>
        </w:tcBorders>
      </w:tcPr>
    </w:tblStylePr>
    <w:tblStylePr w:type="band1Vert">
      <w:tblPr/>
      <w:tcPr>
        <w:shd w:val="clear" w:color="auto" w:fill="E2C9F4" w:themeFill="accent6" w:themeFillTint="3F"/>
      </w:tcPr>
    </w:tblStylePr>
    <w:tblStylePr w:type="band1Horz">
      <w:tblPr/>
      <w:tcPr>
        <w:shd w:val="clear" w:color="auto" w:fill="E2C9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E0C3D" w:themeColor="accent1"/>
        <w:left w:val="single" w:sz="8" w:space="0" w:color="EE0C3D" w:themeColor="accent1"/>
        <w:bottom w:val="single" w:sz="8" w:space="0" w:color="EE0C3D" w:themeColor="accent1"/>
        <w:right w:val="single" w:sz="8" w:space="0" w:color="EE0C3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0C3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0C3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0C3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1C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C1C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2E4DF9" w:themeColor="accent2"/>
        <w:left w:val="single" w:sz="8" w:space="0" w:color="2E4DF9" w:themeColor="accent2"/>
        <w:bottom w:val="single" w:sz="8" w:space="0" w:color="2E4DF9" w:themeColor="accent2"/>
        <w:right w:val="single" w:sz="8" w:space="0" w:color="2E4DF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E4DF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E4DF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E4DF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2F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D2F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6DE00" w:themeColor="accent3"/>
        <w:left w:val="single" w:sz="8" w:space="0" w:color="F6DE00" w:themeColor="accent3"/>
        <w:bottom w:val="single" w:sz="8" w:space="0" w:color="F6DE00" w:themeColor="accent3"/>
        <w:right w:val="single" w:sz="8" w:space="0" w:color="F6DE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DE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DE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DE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8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8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44CC36" w:themeColor="accent4"/>
        <w:left w:val="single" w:sz="8" w:space="0" w:color="44CC36" w:themeColor="accent4"/>
        <w:bottom w:val="single" w:sz="8" w:space="0" w:color="44CC36" w:themeColor="accent4"/>
        <w:right w:val="single" w:sz="8" w:space="0" w:color="44CC3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CC3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CC3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CC3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2C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F2C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C9B00" w:themeColor="accent5"/>
        <w:left w:val="single" w:sz="8" w:space="0" w:color="FC9B00" w:themeColor="accent5"/>
        <w:bottom w:val="single" w:sz="8" w:space="0" w:color="FC9B00" w:themeColor="accent5"/>
        <w:right w:val="single" w:sz="8" w:space="0" w:color="FC9B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9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9B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9B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6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8C29D3" w:themeColor="accent6"/>
        <w:left w:val="single" w:sz="8" w:space="0" w:color="8C29D3" w:themeColor="accent6"/>
        <w:bottom w:val="single" w:sz="8" w:space="0" w:color="8C29D3" w:themeColor="accent6"/>
        <w:right w:val="single" w:sz="8" w:space="0" w:color="8C29D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C29D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C29D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C29D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9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9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5456B" w:themeColor="accent1" w:themeTint="BF"/>
        <w:left w:val="single" w:sz="8" w:space="0" w:color="F5456B" w:themeColor="accent1" w:themeTint="BF"/>
        <w:bottom w:val="single" w:sz="8" w:space="0" w:color="F5456B" w:themeColor="accent1" w:themeTint="BF"/>
        <w:right w:val="single" w:sz="8" w:space="0" w:color="F5456B" w:themeColor="accent1" w:themeTint="BF"/>
        <w:insideH w:val="single" w:sz="8" w:space="0" w:color="F5456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456B" w:themeColor="accent1" w:themeTint="BF"/>
          <w:left w:val="single" w:sz="8" w:space="0" w:color="F5456B" w:themeColor="accent1" w:themeTint="BF"/>
          <w:bottom w:val="single" w:sz="8" w:space="0" w:color="F5456B" w:themeColor="accent1" w:themeTint="BF"/>
          <w:right w:val="single" w:sz="8" w:space="0" w:color="F5456B" w:themeColor="accent1" w:themeTint="BF"/>
          <w:insideH w:val="nil"/>
          <w:insideV w:val="nil"/>
        </w:tcBorders>
        <w:shd w:val="clear" w:color="auto" w:fill="EE0C3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456B" w:themeColor="accent1" w:themeTint="BF"/>
          <w:left w:val="single" w:sz="8" w:space="0" w:color="F5456B" w:themeColor="accent1" w:themeTint="BF"/>
          <w:bottom w:val="single" w:sz="8" w:space="0" w:color="F5456B" w:themeColor="accent1" w:themeTint="BF"/>
          <w:right w:val="single" w:sz="8" w:space="0" w:color="F5456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1C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C1C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278FA" w:themeColor="accent2" w:themeTint="BF"/>
        <w:left w:val="single" w:sz="8" w:space="0" w:color="6278FA" w:themeColor="accent2" w:themeTint="BF"/>
        <w:bottom w:val="single" w:sz="8" w:space="0" w:color="6278FA" w:themeColor="accent2" w:themeTint="BF"/>
        <w:right w:val="single" w:sz="8" w:space="0" w:color="6278FA" w:themeColor="accent2" w:themeTint="BF"/>
        <w:insideH w:val="single" w:sz="8" w:space="0" w:color="6278F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78FA" w:themeColor="accent2" w:themeTint="BF"/>
          <w:left w:val="single" w:sz="8" w:space="0" w:color="6278FA" w:themeColor="accent2" w:themeTint="BF"/>
          <w:bottom w:val="single" w:sz="8" w:space="0" w:color="6278FA" w:themeColor="accent2" w:themeTint="BF"/>
          <w:right w:val="single" w:sz="8" w:space="0" w:color="6278FA" w:themeColor="accent2" w:themeTint="BF"/>
          <w:insideH w:val="nil"/>
          <w:insideV w:val="nil"/>
        </w:tcBorders>
        <w:shd w:val="clear" w:color="auto" w:fill="2E4DF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78FA" w:themeColor="accent2" w:themeTint="BF"/>
          <w:left w:val="single" w:sz="8" w:space="0" w:color="6278FA" w:themeColor="accent2" w:themeTint="BF"/>
          <w:bottom w:val="single" w:sz="8" w:space="0" w:color="6278FA" w:themeColor="accent2" w:themeTint="BF"/>
          <w:right w:val="single" w:sz="8" w:space="0" w:color="6278F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2F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D2F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EB39" w:themeColor="accent3" w:themeTint="BF"/>
        <w:left w:val="single" w:sz="8" w:space="0" w:color="FFEB39" w:themeColor="accent3" w:themeTint="BF"/>
        <w:bottom w:val="single" w:sz="8" w:space="0" w:color="FFEB39" w:themeColor="accent3" w:themeTint="BF"/>
        <w:right w:val="single" w:sz="8" w:space="0" w:color="FFEB39" w:themeColor="accent3" w:themeTint="BF"/>
        <w:insideH w:val="single" w:sz="8" w:space="0" w:color="FFEB3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B39" w:themeColor="accent3" w:themeTint="BF"/>
          <w:left w:val="single" w:sz="8" w:space="0" w:color="FFEB39" w:themeColor="accent3" w:themeTint="BF"/>
          <w:bottom w:val="single" w:sz="8" w:space="0" w:color="FFEB39" w:themeColor="accent3" w:themeTint="BF"/>
          <w:right w:val="single" w:sz="8" w:space="0" w:color="FFEB39" w:themeColor="accent3" w:themeTint="BF"/>
          <w:insideH w:val="nil"/>
          <w:insideV w:val="nil"/>
        </w:tcBorders>
        <w:shd w:val="clear" w:color="auto" w:fill="F6DE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B39" w:themeColor="accent3" w:themeTint="BF"/>
          <w:left w:val="single" w:sz="8" w:space="0" w:color="FFEB39" w:themeColor="accent3" w:themeTint="BF"/>
          <w:bottom w:val="single" w:sz="8" w:space="0" w:color="FFEB39" w:themeColor="accent3" w:themeTint="BF"/>
          <w:right w:val="single" w:sz="8" w:space="0" w:color="FFEB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8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D868" w:themeColor="accent4" w:themeTint="BF"/>
        <w:left w:val="single" w:sz="8" w:space="0" w:color="72D868" w:themeColor="accent4" w:themeTint="BF"/>
        <w:bottom w:val="single" w:sz="8" w:space="0" w:color="72D868" w:themeColor="accent4" w:themeTint="BF"/>
        <w:right w:val="single" w:sz="8" w:space="0" w:color="72D868" w:themeColor="accent4" w:themeTint="BF"/>
        <w:insideH w:val="single" w:sz="8" w:space="0" w:color="72D86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D868" w:themeColor="accent4" w:themeTint="BF"/>
          <w:left w:val="single" w:sz="8" w:space="0" w:color="72D868" w:themeColor="accent4" w:themeTint="BF"/>
          <w:bottom w:val="single" w:sz="8" w:space="0" w:color="72D868" w:themeColor="accent4" w:themeTint="BF"/>
          <w:right w:val="single" w:sz="8" w:space="0" w:color="72D868" w:themeColor="accent4" w:themeTint="BF"/>
          <w:insideH w:val="nil"/>
          <w:insideV w:val="nil"/>
        </w:tcBorders>
        <w:shd w:val="clear" w:color="auto" w:fill="44CC3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D868" w:themeColor="accent4" w:themeTint="BF"/>
          <w:left w:val="single" w:sz="8" w:space="0" w:color="72D868" w:themeColor="accent4" w:themeTint="BF"/>
          <w:bottom w:val="single" w:sz="8" w:space="0" w:color="72D868" w:themeColor="accent4" w:themeTint="BF"/>
          <w:right w:val="single" w:sz="8" w:space="0" w:color="72D86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2C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F2C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B33D" w:themeColor="accent5" w:themeTint="BF"/>
        <w:left w:val="single" w:sz="8" w:space="0" w:color="FFB33D" w:themeColor="accent5" w:themeTint="BF"/>
        <w:bottom w:val="single" w:sz="8" w:space="0" w:color="FFB33D" w:themeColor="accent5" w:themeTint="BF"/>
        <w:right w:val="single" w:sz="8" w:space="0" w:color="FFB33D" w:themeColor="accent5" w:themeTint="BF"/>
        <w:insideH w:val="single" w:sz="8" w:space="0" w:color="FFB33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33D" w:themeColor="accent5" w:themeTint="BF"/>
          <w:left w:val="single" w:sz="8" w:space="0" w:color="FFB33D" w:themeColor="accent5" w:themeTint="BF"/>
          <w:bottom w:val="single" w:sz="8" w:space="0" w:color="FFB33D" w:themeColor="accent5" w:themeTint="BF"/>
          <w:right w:val="single" w:sz="8" w:space="0" w:color="FFB33D" w:themeColor="accent5" w:themeTint="BF"/>
          <w:insideH w:val="nil"/>
          <w:insideV w:val="nil"/>
        </w:tcBorders>
        <w:shd w:val="clear" w:color="auto" w:fill="FC9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33D" w:themeColor="accent5" w:themeTint="BF"/>
          <w:left w:val="single" w:sz="8" w:space="0" w:color="FFB33D" w:themeColor="accent5" w:themeTint="BF"/>
          <w:bottom w:val="single" w:sz="8" w:space="0" w:color="FFB33D" w:themeColor="accent5" w:themeTint="BF"/>
          <w:right w:val="single" w:sz="8" w:space="0" w:color="FFB33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6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85DDF" w:themeColor="accent6" w:themeTint="BF"/>
        <w:left w:val="single" w:sz="8" w:space="0" w:color="A85DDF" w:themeColor="accent6" w:themeTint="BF"/>
        <w:bottom w:val="single" w:sz="8" w:space="0" w:color="A85DDF" w:themeColor="accent6" w:themeTint="BF"/>
        <w:right w:val="single" w:sz="8" w:space="0" w:color="A85DDF" w:themeColor="accent6" w:themeTint="BF"/>
        <w:insideH w:val="single" w:sz="8" w:space="0" w:color="A85DD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85DDF" w:themeColor="accent6" w:themeTint="BF"/>
          <w:left w:val="single" w:sz="8" w:space="0" w:color="A85DDF" w:themeColor="accent6" w:themeTint="BF"/>
          <w:bottom w:val="single" w:sz="8" w:space="0" w:color="A85DDF" w:themeColor="accent6" w:themeTint="BF"/>
          <w:right w:val="single" w:sz="8" w:space="0" w:color="A85DDF" w:themeColor="accent6" w:themeTint="BF"/>
          <w:insideH w:val="nil"/>
          <w:insideV w:val="nil"/>
        </w:tcBorders>
        <w:shd w:val="clear" w:color="auto" w:fill="8C29D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5DDF" w:themeColor="accent6" w:themeTint="BF"/>
          <w:left w:val="single" w:sz="8" w:space="0" w:color="A85DDF" w:themeColor="accent6" w:themeTint="BF"/>
          <w:bottom w:val="single" w:sz="8" w:space="0" w:color="A85DDF" w:themeColor="accent6" w:themeTint="BF"/>
          <w:right w:val="single" w:sz="8" w:space="0" w:color="A85DD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9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9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0C3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0C3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0C3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E4DF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DF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E4DF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DE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E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DE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CC3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CC3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CC3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B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9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9B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29D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29D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C29D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A6E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="Arial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A6EC5"/>
    <w:rPr>
      <w:rFonts w:eastAsiaTheme="majorEastAsia" w:cs="Arial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unhideWhenUsed/>
    <w:rsid w:val="005A6EC5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5A6EC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A6EC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A6EC5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5A6EC5"/>
    <w:rPr>
      <w:lang w:val="en-US"/>
    </w:rPr>
  </w:style>
  <w:style w:type="table" w:styleId="PlainTable1">
    <w:name w:val="Plain Table 1"/>
    <w:basedOn w:val="TableNormal"/>
    <w:uiPriority w:val="41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A6E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A6EC5"/>
    <w:rPr>
      <w:rFonts w:ascii="Consolas" w:hAnsi="Consolas"/>
      <w:sz w:val="21"/>
      <w:szCs w:val="21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A6E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A6EC5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A6EC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A6EC5"/>
    <w:rPr>
      <w:lang w:val="en-US"/>
    </w:rPr>
  </w:style>
  <w:style w:type="character" w:styleId="Strong">
    <w:name w:val="Strong"/>
    <w:basedOn w:val="DefaultParagraphFont"/>
    <w:uiPriority w:val="22"/>
    <w:qFormat/>
    <w:rsid w:val="005A6EC5"/>
    <w:rPr>
      <w:b/>
      <w:bCs/>
      <w:lang w:val="en-US"/>
    </w:rPr>
  </w:style>
  <w:style w:type="character" w:styleId="SubtleEmphasis">
    <w:name w:val="Subtle Emphasis"/>
    <w:basedOn w:val="DefaultParagraphFont"/>
    <w:uiPriority w:val="19"/>
    <w:qFormat/>
    <w:rsid w:val="005A6EC5"/>
    <w:rPr>
      <w:i/>
      <w:iCs/>
      <w:color w:val="404040" w:themeColor="text1" w:themeTint="BF"/>
      <w:lang w:val="en-US"/>
    </w:rPr>
  </w:style>
  <w:style w:type="character" w:styleId="SubtleReference">
    <w:name w:val="Subtle Reference"/>
    <w:basedOn w:val="DefaultParagraphFont"/>
    <w:uiPriority w:val="31"/>
    <w:qFormat/>
    <w:rsid w:val="005A6EC5"/>
    <w:rPr>
      <w:smallCaps/>
      <w:color w:val="5A5A5A" w:themeColor="text1" w:themeTint="A5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5A6EC5"/>
    <w:pPr>
      <w:spacing w:before="0" w:after="160"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A6EC5"/>
    <w:pPr>
      <w:spacing w:before="0" w:after="160"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A6EC5"/>
    <w:pPr>
      <w:spacing w:before="0" w:after="160"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A6EC5"/>
    <w:pPr>
      <w:spacing w:before="0" w:after="160"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A6EC5"/>
    <w:pPr>
      <w:spacing w:before="0" w:after="160"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A6EC5"/>
    <w:pPr>
      <w:spacing w:before="0" w:after="160"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A6EC5"/>
    <w:pPr>
      <w:spacing w:before="0" w:after="160"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A6EC5"/>
    <w:pPr>
      <w:spacing w:before="0"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A6EC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A6EC5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A6EC5"/>
    <w:pPr>
      <w:spacing w:before="0" w:after="160"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A6EC5"/>
    <w:pPr>
      <w:spacing w:before="0" w:after="160"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A6EC5"/>
    <w:pPr>
      <w:spacing w:before="0" w:after="160"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A6EC5"/>
    <w:pPr>
      <w:spacing w:before="120"/>
    </w:pPr>
    <w:rPr>
      <w:rFonts w:eastAsiaTheme="majorEastAsia" w:cs="Arial"/>
      <w:b/>
      <w:bCs/>
      <w:szCs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A6EC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A6EC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A6EC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A6EC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A6EC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qFormat/>
    <w:rsid w:val="00985B1B"/>
    <w:pPr>
      <w:numPr>
        <w:numId w:val="0"/>
      </w:numPr>
      <w:spacing w:before="0" w:after="2160" w:line="264" w:lineRule="auto"/>
      <w:outlineLvl w:val="9"/>
    </w:pPr>
    <w:rPr>
      <w:bCs w:val="0"/>
      <w:noProof w:val="0"/>
      <w:szCs w:val="32"/>
    </w:rPr>
  </w:style>
  <w:style w:type="numbering" w:customStyle="1" w:styleId="TableBullet">
    <w:name w:val="Table Bullet"/>
    <w:uiPriority w:val="99"/>
    <w:rsid w:val="005945F4"/>
    <w:pPr>
      <w:numPr>
        <w:numId w:val="4"/>
      </w:numPr>
    </w:pPr>
  </w:style>
  <w:style w:type="paragraph" w:customStyle="1" w:styleId="TableSource">
    <w:name w:val="Table Source"/>
    <w:basedOn w:val="Normal"/>
    <w:uiPriority w:val="22"/>
    <w:rsid w:val="005945F4"/>
    <w:pPr>
      <w:spacing w:after="160" w:line="260" w:lineRule="atLeast"/>
    </w:pPr>
  </w:style>
  <w:style w:type="paragraph" w:customStyle="1" w:styleId="TableBullet1">
    <w:name w:val="Table Bullet 1"/>
    <w:basedOn w:val="TableSource"/>
    <w:uiPriority w:val="22"/>
    <w:rsid w:val="005945F4"/>
    <w:pPr>
      <w:numPr>
        <w:numId w:val="4"/>
      </w:numPr>
      <w:spacing w:before="108" w:after="108"/>
    </w:pPr>
  </w:style>
  <w:style w:type="paragraph" w:customStyle="1" w:styleId="TableBullet2">
    <w:name w:val="Table Bullet 2"/>
    <w:basedOn w:val="TableBullet1"/>
    <w:uiPriority w:val="22"/>
    <w:rsid w:val="005945F4"/>
    <w:pPr>
      <w:numPr>
        <w:ilvl w:val="1"/>
      </w:numPr>
    </w:pPr>
  </w:style>
  <w:style w:type="paragraph" w:customStyle="1" w:styleId="TableHeading">
    <w:name w:val="Table Heading"/>
    <w:basedOn w:val="Normal"/>
    <w:uiPriority w:val="20"/>
    <w:rsid w:val="00362590"/>
    <w:pPr>
      <w:keepNext/>
      <w:spacing w:before="108" w:after="108" w:line="280" w:lineRule="atLeast"/>
    </w:pPr>
    <w:rPr>
      <w:rFonts w:asciiTheme="majorHAnsi" w:hAnsiTheme="majorHAnsi"/>
      <w:color w:val="000000" w:themeColor="text1"/>
    </w:rPr>
  </w:style>
  <w:style w:type="paragraph" w:customStyle="1" w:styleId="TableHeadingIndented">
    <w:name w:val="Table Heading Indented"/>
    <w:basedOn w:val="TableHeading"/>
    <w:uiPriority w:val="20"/>
    <w:rsid w:val="00362590"/>
    <w:pPr>
      <w:ind w:left="113"/>
    </w:pPr>
  </w:style>
  <w:style w:type="paragraph" w:customStyle="1" w:styleId="TableHeadingRight">
    <w:name w:val="Table Heading Right"/>
    <w:basedOn w:val="Normal"/>
    <w:uiPriority w:val="20"/>
    <w:rsid w:val="00DB4265"/>
    <w:pPr>
      <w:spacing w:before="108" w:after="108" w:line="260" w:lineRule="atLeast"/>
      <w:jc w:val="right"/>
    </w:pPr>
    <w:rPr>
      <w:rFonts w:asciiTheme="majorHAnsi" w:hAnsiTheme="majorHAnsi"/>
      <w:color w:val="000000" w:themeColor="text1"/>
    </w:rPr>
  </w:style>
  <w:style w:type="paragraph" w:customStyle="1" w:styleId="TableNumb">
    <w:name w:val="Table Numb"/>
    <w:basedOn w:val="Normal"/>
    <w:uiPriority w:val="21"/>
    <w:rsid w:val="00CE0CB8"/>
    <w:pPr>
      <w:spacing w:before="108" w:after="108" w:line="260" w:lineRule="atLeast"/>
      <w:jc w:val="right"/>
    </w:pPr>
    <w:rPr>
      <w:color w:val="000000" w:themeColor="text1"/>
    </w:rPr>
  </w:style>
  <w:style w:type="paragraph" w:customStyle="1" w:styleId="TableNumbBold">
    <w:name w:val="Table Numb Bold"/>
    <w:basedOn w:val="Normal"/>
    <w:uiPriority w:val="21"/>
    <w:rsid w:val="00CE0CB8"/>
    <w:pPr>
      <w:spacing w:before="108" w:after="108" w:line="260" w:lineRule="atLeast"/>
      <w:jc w:val="right"/>
    </w:pPr>
    <w:rPr>
      <w:b/>
      <w:bCs/>
      <w:color w:val="000000" w:themeColor="text1"/>
    </w:rPr>
  </w:style>
  <w:style w:type="paragraph" w:customStyle="1" w:styleId="TableNumbBoldNeg">
    <w:name w:val="Table Numb Bold Neg"/>
    <w:basedOn w:val="TableNumbBold"/>
    <w:uiPriority w:val="21"/>
    <w:rsid w:val="005945F4"/>
    <w:pPr>
      <w:ind w:right="-74"/>
    </w:pPr>
  </w:style>
  <w:style w:type="paragraph" w:customStyle="1" w:styleId="TableNumbNeg">
    <w:name w:val="Table Numb Neg"/>
    <w:basedOn w:val="TableNumb"/>
    <w:uiPriority w:val="21"/>
    <w:rsid w:val="005945F4"/>
    <w:pPr>
      <w:ind w:right="-74"/>
    </w:pPr>
  </w:style>
  <w:style w:type="numbering" w:customStyle="1" w:styleId="TableNumbList">
    <w:name w:val="Table NumbList"/>
    <w:uiPriority w:val="99"/>
    <w:rsid w:val="005945F4"/>
    <w:pPr>
      <w:numPr>
        <w:numId w:val="5"/>
      </w:numPr>
    </w:pPr>
  </w:style>
  <w:style w:type="paragraph" w:customStyle="1" w:styleId="TableNumbList1">
    <w:name w:val="Table NumbList 1"/>
    <w:basedOn w:val="TableBullet2"/>
    <w:uiPriority w:val="22"/>
    <w:rsid w:val="005945F4"/>
    <w:pPr>
      <w:numPr>
        <w:ilvl w:val="0"/>
        <w:numId w:val="5"/>
      </w:numPr>
    </w:pPr>
  </w:style>
  <w:style w:type="paragraph" w:customStyle="1" w:styleId="TableNumbList2">
    <w:name w:val="Table NumbList 2"/>
    <w:basedOn w:val="TableNumbList1"/>
    <w:uiPriority w:val="22"/>
    <w:rsid w:val="005945F4"/>
    <w:pPr>
      <w:numPr>
        <w:ilvl w:val="1"/>
      </w:numPr>
    </w:pPr>
  </w:style>
  <w:style w:type="paragraph" w:customStyle="1" w:styleId="TableText">
    <w:name w:val="Table Text"/>
    <w:basedOn w:val="Normal"/>
    <w:uiPriority w:val="20"/>
    <w:qFormat/>
    <w:rsid w:val="00985B1B"/>
    <w:pPr>
      <w:spacing w:after="0"/>
      <w:contextualSpacing/>
    </w:pPr>
    <w:rPr>
      <w:rFonts w:asciiTheme="minorHAnsi" w:hAnsiTheme="minorHAnsi"/>
      <w:color w:val="404040" w:themeColor="text1" w:themeTint="BF"/>
      <w:sz w:val="22"/>
    </w:rPr>
  </w:style>
  <w:style w:type="paragraph" w:customStyle="1" w:styleId="TableTextBold">
    <w:name w:val="Table Text Bold"/>
    <w:basedOn w:val="TableText"/>
    <w:uiPriority w:val="20"/>
    <w:rsid w:val="005945F4"/>
    <w:rPr>
      <w:b/>
    </w:rPr>
  </w:style>
  <w:style w:type="paragraph" w:customStyle="1" w:styleId="TableTextBoldIndented">
    <w:name w:val="Table Text Bold Indented"/>
    <w:basedOn w:val="TableTextBold"/>
    <w:uiPriority w:val="20"/>
    <w:rsid w:val="005945F4"/>
    <w:pPr>
      <w:ind w:left="113"/>
    </w:pPr>
  </w:style>
  <w:style w:type="paragraph" w:customStyle="1" w:styleId="TableTextIndented">
    <w:name w:val="Table Text Indented"/>
    <w:basedOn w:val="TableText"/>
    <w:uiPriority w:val="20"/>
    <w:rsid w:val="005945F4"/>
    <w:pPr>
      <w:ind w:left="113"/>
    </w:pPr>
  </w:style>
  <w:style w:type="paragraph" w:customStyle="1" w:styleId="TableTitle">
    <w:name w:val="Table Title"/>
    <w:basedOn w:val="Normal"/>
    <w:uiPriority w:val="19"/>
    <w:rsid w:val="00362590"/>
    <w:pPr>
      <w:spacing w:after="160" w:line="260" w:lineRule="atLeast"/>
    </w:pPr>
    <w:rPr>
      <w:color w:val="404040" w:themeColor="text1" w:themeTint="BF"/>
      <w:sz w:val="22"/>
    </w:rPr>
  </w:style>
  <w:style w:type="table" w:customStyle="1" w:styleId="GlobalFund11">
    <w:name w:val="Global Fund 11"/>
    <w:basedOn w:val="GlobalFund"/>
    <w:uiPriority w:val="99"/>
    <w:rsid w:val="00DB4265"/>
    <w:rPr>
      <w:color w:val="404040" w:themeColor="text1" w:themeTint="BF"/>
    </w:rPr>
    <w:tblPr>
      <w:tblCellMar>
        <w:top w:w="108" w:type="dxa"/>
        <w:bottom w:w="108" w:type="dxa"/>
      </w:tblCellMar>
    </w:tbl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auto"/>
        <w:sz w:val="22"/>
      </w:rPr>
      <w:tblPr/>
      <w:tcPr>
        <w:tcBorders>
          <w:bottom w:val="single" w:sz="6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color w:val="000000" w:themeColor="text1"/>
      </w:rPr>
      <w:tblPr/>
      <w:tcPr>
        <w:tcBorders>
          <w:top w:val="single" w:sz="6" w:space="0" w:color="000000" w:themeColor="text1"/>
          <w:left w:val="nil"/>
          <w:bottom w:val="single" w:sz="6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jc w:val="left"/>
      </w:pPr>
      <w:rPr>
        <w:color w:val="404040" w:themeColor="text1" w:themeTint="BF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jc w:val="left"/>
      </w:pPr>
      <w:rPr>
        <w:color w:val="404040" w:themeColor="text1" w:themeTint="BF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Heading1NonNumbered">
    <w:name w:val="Heading 1 Non Numbered"/>
    <w:basedOn w:val="Heading1"/>
    <w:next w:val="Normal"/>
    <w:uiPriority w:val="9"/>
    <w:qFormat/>
    <w:rsid w:val="005A6EC5"/>
    <w:pPr>
      <w:numPr>
        <w:numId w:val="0"/>
      </w:numPr>
    </w:pPr>
    <w:rPr>
      <w:b/>
    </w:rPr>
  </w:style>
  <w:style w:type="paragraph" w:customStyle="1" w:styleId="Heading2NonNumbered">
    <w:name w:val="Heading 2 Non Numbered"/>
    <w:basedOn w:val="Heading2"/>
    <w:next w:val="Normal"/>
    <w:uiPriority w:val="9"/>
    <w:qFormat/>
    <w:rsid w:val="00607164"/>
    <w:pPr>
      <w:numPr>
        <w:ilvl w:val="0"/>
        <w:numId w:val="0"/>
      </w:numPr>
    </w:pPr>
  </w:style>
  <w:style w:type="paragraph" w:customStyle="1" w:styleId="Heading2withLine">
    <w:name w:val="Heading 2 with Line"/>
    <w:basedOn w:val="Heading2"/>
    <w:next w:val="Normal"/>
    <w:uiPriority w:val="9"/>
    <w:qFormat/>
    <w:rsid w:val="005A6EC5"/>
    <w:pPr>
      <w:pBdr>
        <w:top w:val="single" w:sz="2" w:space="3" w:color="auto"/>
      </w:pBdr>
      <w:spacing w:after="260"/>
    </w:pPr>
  </w:style>
  <w:style w:type="numbering" w:customStyle="1" w:styleId="NumLstHeadings">
    <w:name w:val="NumLstHeadings"/>
    <w:uiPriority w:val="99"/>
    <w:rsid w:val="005A6EC5"/>
    <w:pPr>
      <w:numPr>
        <w:numId w:val="19"/>
      </w:numPr>
    </w:pPr>
  </w:style>
  <w:style w:type="paragraph" w:customStyle="1" w:styleId="PageNo">
    <w:name w:val="Page No"/>
    <w:basedOn w:val="Normal"/>
    <w:uiPriority w:val="19"/>
    <w:qFormat/>
    <w:rsid w:val="005A6EC5"/>
    <w:pPr>
      <w:spacing w:after="0"/>
      <w:jc w:val="right"/>
    </w:pPr>
    <w:rPr>
      <w:rFonts w:asciiTheme="majorHAnsi" w:hAnsiTheme="majorHAnsi"/>
      <w:sz w:val="18"/>
      <w:szCs w:val="18"/>
    </w:rPr>
  </w:style>
  <w:style w:type="paragraph" w:customStyle="1" w:styleId="StandardTitle">
    <w:name w:val="Standard Title"/>
    <w:basedOn w:val="Subtitle"/>
    <w:next w:val="Normal"/>
    <w:uiPriority w:val="8"/>
    <w:semiHidden/>
    <w:qFormat/>
    <w:rsid w:val="003F11D5"/>
    <w:rPr>
      <w:rFonts w:asciiTheme="majorHAnsi" w:hAnsiTheme="majorHAnsi"/>
    </w:rPr>
  </w:style>
  <w:style w:type="paragraph" w:customStyle="1" w:styleId="ImageCaption">
    <w:name w:val="Image Caption"/>
    <w:basedOn w:val="Note"/>
    <w:uiPriority w:val="4"/>
    <w:qFormat/>
    <w:rsid w:val="00F602C6"/>
    <w:pPr>
      <w:spacing w:before="120" w:after="0" w:line="240" w:lineRule="auto"/>
      <w:contextualSpacing/>
    </w:pPr>
    <w:rPr>
      <w:rFonts w:asciiTheme="minorHAnsi" w:hAnsiTheme="minorHAnsi"/>
      <w:sz w:val="12"/>
      <w:szCs w:val="12"/>
    </w:rPr>
  </w:style>
  <w:style w:type="character" w:customStyle="1" w:styleId="ImageCaptionHeading">
    <w:name w:val="Image Caption Heading"/>
    <w:basedOn w:val="DefaultParagraphFont"/>
    <w:uiPriority w:val="4"/>
    <w:qFormat/>
    <w:rsid w:val="008270AE"/>
    <w:rPr>
      <w:rFonts w:asciiTheme="majorHAnsi" w:hAnsiTheme="majorHAnsi"/>
      <w:color w:val="000000" w:themeColor="text1"/>
      <w:lang w:val="en-US"/>
    </w:rPr>
  </w:style>
  <w:style w:type="paragraph" w:customStyle="1" w:styleId="ChartSubheading">
    <w:name w:val="Chart Subheading"/>
    <w:basedOn w:val="Normal"/>
    <w:uiPriority w:val="19"/>
    <w:qFormat/>
    <w:rsid w:val="00335220"/>
    <w:pPr>
      <w:spacing w:after="0"/>
      <w:contextualSpacing/>
    </w:pPr>
  </w:style>
  <w:style w:type="paragraph" w:customStyle="1" w:styleId="ChartHeading">
    <w:name w:val="Chart Heading"/>
    <w:basedOn w:val="ChartSubheading"/>
    <w:uiPriority w:val="19"/>
    <w:qFormat/>
    <w:rsid w:val="00335220"/>
    <w:rPr>
      <w:rFonts w:asciiTheme="majorHAnsi" w:hAnsiTheme="maj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4E70C4"/>
    <w:rPr>
      <w:color w:val="605E5C"/>
      <w:shd w:val="clear" w:color="auto" w:fill="E1DFDD"/>
      <w:lang w:val="en-US"/>
    </w:rPr>
  </w:style>
  <w:style w:type="paragraph" w:customStyle="1" w:styleId="Default">
    <w:name w:val="Default"/>
    <w:rsid w:val="00B4649D"/>
    <w:pPr>
      <w:autoSpaceDE w:val="0"/>
      <w:autoSpaceDN w:val="0"/>
      <w:adjustRightInd w:val="0"/>
      <w:spacing w:before="0" w:after="0" w:line="240" w:lineRule="auto"/>
    </w:pPr>
    <w:rPr>
      <w:rFonts w:eastAsia="Times New Roman" w:cs="Arial"/>
      <w:color w:val="000000"/>
      <w:sz w:val="24"/>
      <w:szCs w:val="24"/>
      <w:lang w:val="fr-FR"/>
    </w:rPr>
  </w:style>
  <w:style w:type="character" w:customStyle="1" w:styleId="ListParagraphChar">
    <w:name w:val="List Paragraph Char"/>
    <w:aliases w:val="References Char,List Paragraph (numbered (a)) Char,Bullets Char,Liste 1 Char,List Paragraph1 Char,Numbered List Paragraph Char,List Bullet Mary Char,Medium Grid 1 - Accent 21 Char,Colorful List - Accent 11 Char,Header 2 Char"/>
    <w:basedOn w:val="DefaultParagraphFont"/>
    <w:link w:val="ListParagraph"/>
    <w:uiPriority w:val="1"/>
    <w:rsid w:val="00F3557A"/>
    <w:rPr>
      <w:sz w:val="24"/>
      <w:lang w:val="en-US"/>
    </w:rPr>
  </w:style>
  <w:style w:type="paragraph" w:styleId="Revision">
    <w:name w:val="Revision"/>
    <w:hidden/>
    <w:uiPriority w:val="99"/>
    <w:semiHidden/>
    <w:rsid w:val="00D04F75"/>
    <w:pPr>
      <w:spacing w:before="0" w:after="0" w:line="240" w:lineRule="auto"/>
    </w:pPr>
    <w:rPr>
      <w:sz w:val="24"/>
      <w:lang w:val="en-US"/>
    </w:rPr>
  </w:style>
  <w:style w:type="character" w:styleId="Mention">
    <w:name w:val="Mention"/>
    <w:basedOn w:val="DefaultParagraphFont"/>
    <w:uiPriority w:val="99"/>
    <w:unhideWhenUsed/>
    <w:rsid w:val="00447B1E"/>
    <w:rPr>
      <w:color w:val="2B579A"/>
      <w:shd w:val="clear" w:color="auto" w:fill="E1DFDD"/>
    </w:rPr>
  </w:style>
  <w:style w:type="paragraph" w:customStyle="1" w:styleId="Normal0">
    <w:name w:val="Normal0"/>
    <w:qFormat/>
    <w:rsid w:val="00176CAB"/>
    <w:pPr>
      <w:spacing w:before="0" w:after="200" w:line="276" w:lineRule="auto"/>
    </w:pPr>
    <w:rPr>
      <w:rFonts w:ascii="Georgia" w:eastAsia="Calibri" w:hAnsi="Georg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0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94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9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95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2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9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54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2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04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46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theglobalfund.org/media/5873/psm_procurementsupplymanagement_guidelines_en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fao.org/fileadmin/user_upload/obsolete_pesticides/docs/retail_es.pdf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theglobalfund.org/en/sourcing-management/quality-assurance/" TargetMode="External"/><Relationship Id="rId2" Type="http://schemas.openxmlformats.org/officeDocument/2006/relationships/hyperlink" Target="https://www.theglobalfund.org/media/5873/psm_procurementsupplymanagement_guidelines_en.pdf" TargetMode="External"/><Relationship Id="rId1" Type="http://schemas.openxmlformats.org/officeDocument/2006/relationships/hyperlink" Target="https://www.theglobalfund.org/en/sourcing-management/quality-assurance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rmon\AppData\Roaming\Microsoft\Templates\GF%20Report%20Template%201%20Column.dotx" TargetMode="External"/></Relationships>
</file>

<file path=word/theme/theme1.xml><?xml version="1.0" encoding="utf-8"?>
<a:theme xmlns:a="http://schemas.openxmlformats.org/drawingml/2006/main" name="Office Theme">
  <a:themeElements>
    <a:clrScheme name="Global Fund">
      <a:dk1>
        <a:sysClr val="windowText" lastClr="000000"/>
      </a:dk1>
      <a:lt1>
        <a:sysClr val="window" lastClr="FFFFFF"/>
      </a:lt1>
      <a:dk2>
        <a:srgbClr val="939393"/>
      </a:dk2>
      <a:lt2>
        <a:srgbClr val="D1D3D4"/>
      </a:lt2>
      <a:accent1>
        <a:srgbClr val="EE0C3D"/>
      </a:accent1>
      <a:accent2>
        <a:srgbClr val="2E4DF9"/>
      </a:accent2>
      <a:accent3>
        <a:srgbClr val="F6DE00"/>
      </a:accent3>
      <a:accent4>
        <a:srgbClr val="44CC36"/>
      </a:accent4>
      <a:accent5>
        <a:srgbClr val="FC9B00"/>
      </a:accent5>
      <a:accent6>
        <a:srgbClr val="8C29D3"/>
      </a:accent6>
      <a:hlink>
        <a:srgbClr val="2E4DF9"/>
      </a:hlink>
      <a:folHlink>
        <a:srgbClr val="2E4DF9"/>
      </a:folHlink>
    </a:clrScheme>
    <a:fontScheme name="_Global Fund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FormConfiguration><![CDATA[{"formFields":[{"dataSource":"Languages","displayColumn":"language","defaultValue":"{{UserProfile.DocumentLanguage.Id}}","hideIfNoUserInteractionRequired":false,"distinct":true,"required":true,"autoSelectFirstOption":false,"helpTexts":{"prefix":"","postfix":""},"spacing":{},"type":"dropDown","name":"DocLang","label":"Document Language","fullyQualifiedName":"DocLang"}],"formDataEntries":[{"name":"DocLang","value":"Yq4f8ikL1FlYGwH8CgaazA=="}]}]]></TemplafyForm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6358a0-61f1-4975-a091-ec3afb377510">
      <Terms xmlns="http://schemas.microsoft.com/office/infopath/2007/PartnerControls"/>
    </lcf76f155ced4ddcb4097134ff3c332f>
    <TaxCatchAll xmlns="b69c9015-c9c1-4c3a-83df-20522c0bcb6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BBFDF5D913F14FB3D35E0A8AAE7F1F" ma:contentTypeVersion="12" ma:contentTypeDescription="Create a new document." ma:contentTypeScope="" ma:versionID="064397d5c52470658dc7c9a68927d6d3">
  <xsd:schema xmlns:xsd="http://www.w3.org/2001/XMLSchema" xmlns:xs="http://www.w3.org/2001/XMLSchema" xmlns:p="http://schemas.microsoft.com/office/2006/metadata/properties" xmlns:ns2="5d6358a0-61f1-4975-a091-ec3afb377510" xmlns:ns3="b69c9015-c9c1-4c3a-83df-20522c0bcb61" targetNamespace="http://schemas.microsoft.com/office/2006/metadata/properties" ma:root="true" ma:fieldsID="7fbe0b748a1869ac9f1079dcbee035c6" ns2:_="" ns3:_="">
    <xsd:import namespace="5d6358a0-61f1-4975-a091-ec3afb377510"/>
    <xsd:import namespace="b69c9015-c9c1-4c3a-83df-20522c0bcb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358a0-61f1-4975-a091-ec3afb377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c5697c-9d86-4020-9001-b7da57404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c9015-c9c1-4c3a-83df-20522c0bcb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0f7aae-c240-4cab-9060-b49bfee89bc0}" ma:internalName="TaxCatchAll" ma:showField="CatchAllData" ma:web="b69c9015-c9c1-4c3a-83df-20522c0bcb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TemplafyTemplateConfiguration><![CDATA[{"elementsMetadata":[{"type":"pictureContentControl","id":"14f3f337-fbd7-438e-9d59-0805618bac62","elementConfiguration":{"inheritDimensions":"inheritHeight","binding":"Form.DocLang.Logo_stacked_colour","removeAndKeepContent":false,"disableUpdates":false,"type":"image"}},{"type":"pictureContentControl","id":"f3ce6dc6-ffc2-4b8c-9510-1f30dbf6feb7","elementConfiguration":{"inheritDimensions":"inheritHeight","binding":"Form.DocLang.Logo_horizontal","removeAndKeepContent":false,"disableUpdates":false,"type":"image"}},{"type":"pictureContentControl","id":"10438360-6da7-4ef9-980f-6ab613249796","elementConfiguration":{"inheritDimensions":"inheritHeight","binding":"Form.DocLang.Logo_horizontal","removeAndKeepContent":false,"disableUpdates":false,"type":"image"}}],"transformationConfigurations":[{"colorTheme":"{{Form.ColourTheme.ThemeName}}","originalColorThemeXml":"<a:clrScheme name=\"Global Fund\" xmlns:a=\"http://schemas.openxmlformats.org/drawingml/2006/main\"><a:dk1><a:sysClr val=\"windowText\" lastClr=\"000000\" /></a:dk1><a:lt1><a:sysClr val=\"window\" lastClr=\"FFFFFF\" /></a:lt1><a:dk2><a:srgbClr val=\"939393\" /></a:dk2><a:lt2><a:srgbClr val=\"D1D3D4\" /></a:lt2><a:accent1><a:srgbClr val=\"EE0C3D\" /></a:accent1><a:accent2><a:srgbClr val=\"2E4DF9\" /></a:accent2><a:accent3><a:srgbClr val=\"F6DE00\" /></a:accent3><a:accent4><a:srgbClr val=\"44CC36\" /></a:accent4><a:accent5><a:srgbClr val=\"FC9B00\" /></a:accent5><a:accent6><a:srgbClr val=\"8C29D3\" /></a:accent6><a:hlink><a:srgbClr val=\"2E4DF9\" /></a:hlink><a:folHlink><a:srgbClr val=\"2E4DF9\" /></a:folHlink></a:clrScheme>","disableUpdates":false,"type":"colorTheme"},{"propertyName":"Language","propertyValue":"en-US","disableUpdates":false,"type":"customDocumentProperty"},{"language":"{{Form.DocLang.StdSpell}}","disableUpdates":false,"type":"proofingLanguage"}],"isBaseTemplate":false,"templateName":"Standard","templateDescription":"Blank template, logo header","enableDocumentContentUpdater":true,"version":"1.10"}]]></TemplafyTemplateConfiguration>
</file>

<file path=customXml/itemProps1.xml><?xml version="1.0" encoding="utf-8"?>
<ds:datastoreItem xmlns:ds="http://schemas.openxmlformats.org/officeDocument/2006/customXml" ds:itemID="{AC9D8980-C987-48AF-BFD7-20D6444F7008}">
  <ds:schemaRefs/>
</ds:datastoreItem>
</file>

<file path=customXml/itemProps2.xml><?xml version="1.0" encoding="utf-8"?>
<ds:datastoreItem xmlns:ds="http://schemas.openxmlformats.org/officeDocument/2006/customXml" ds:itemID="{D9A8BC98-3158-4B0C-BE8D-6327AD3D50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2F40C7-BC03-4F2B-B5D5-0A7DA8755A38}">
  <ds:schemaRefs>
    <ds:schemaRef ds:uri="http://schemas.microsoft.com/office/2006/metadata/properties"/>
    <ds:schemaRef ds:uri="http://schemas.microsoft.com/office/infopath/2007/PartnerControls"/>
    <ds:schemaRef ds:uri="5d6358a0-61f1-4975-a091-ec3afb377510"/>
    <ds:schemaRef ds:uri="b69c9015-c9c1-4c3a-83df-20522c0bcb61"/>
  </ds:schemaRefs>
</ds:datastoreItem>
</file>

<file path=customXml/itemProps4.xml><?xml version="1.0" encoding="utf-8"?>
<ds:datastoreItem xmlns:ds="http://schemas.openxmlformats.org/officeDocument/2006/customXml" ds:itemID="{F128B6CB-274F-4AD9-ABAE-1BB854BADB3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15333ED-4E42-40C1-8D57-1D4878B47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6358a0-61f1-4975-a091-ec3afb377510"/>
    <ds:schemaRef ds:uri="b69c9015-c9c1-4c3a-83df-20522c0bcb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7AE4FFB-B547-437A-A56E-613A8F346671}">
  <ds:schemaRefs/>
</ds:datastoreItem>
</file>

<file path=docMetadata/LabelInfo.xml><?xml version="1.0" encoding="utf-8"?>
<clbl:labelList xmlns:clbl="http://schemas.microsoft.com/office/2020/mipLabelMetadata">
  <clbl:label id="{7445afc7-8147-48fd-9212-af8008ee1f68}" enabled="1" method="Standard" siteId="{77920909-8782-4efb-aaf1-44ac114d7c0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GF Report Template 1 Column</Template>
  <TotalTime>2</TotalTime>
  <Pages>7</Pages>
  <Words>1875</Words>
  <Characters>12113</Characters>
  <Application>Microsoft Office Word</Application>
  <DocSecurity>0</DocSecurity>
  <Lines>212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13895</CharactersWithSpaces>
  <SharedDoc>false</SharedDoc>
  <HLinks>
    <vt:vector size="30" baseType="variant">
      <vt:variant>
        <vt:i4>3080268</vt:i4>
      </vt:variant>
      <vt:variant>
        <vt:i4>3</vt:i4>
      </vt:variant>
      <vt:variant>
        <vt:i4>0</vt:i4>
      </vt:variant>
      <vt:variant>
        <vt:i4>5</vt:i4>
      </vt:variant>
      <vt:variant>
        <vt:lpwstr>https://www.fao.org/fileadmin/user_upload/obsolete_pesticides/docs/retail_es.pdf</vt:lpwstr>
      </vt:variant>
      <vt:variant>
        <vt:lpwstr/>
      </vt:variant>
      <vt:variant>
        <vt:i4>2162794</vt:i4>
      </vt:variant>
      <vt:variant>
        <vt:i4>0</vt:i4>
      </vt:variant>
      <vt:variant>
        <vt:i4>0</vt:i4>
      </vt:variant>
      <vt:variant>
        <vt:i4>5</vt:i4>
      </vt:variant>
      <vt:variant>
        <vt:lpwstr>https://www.theglobalfund.org/en/sourcing-management/quality-assurance/other-products/</vt:lpwstr>
      </vt:variant>
      <vt:variant>
        <vt:lpwstr/>
      </vt:variant>
      <vt:variant>
        <vt:i4>524394</vt:i4>
      </vt:variant>
      <vt:variant>
        <vt:i4>6</vt:i4>
      </vt:variant>
      <vt:variant>
        <vt:i4>0</vt:i4>
      </vt:variant>
      <vt:variant>
        <vt:i4>5</vt:i4>
      </vt:variant>
      <vt:variant>
        <vt:lpwstr>mailto:Alain.Prat@theglobalfund.org</vt:lpwstr>
      </vt:variant>
      <vt:variant>
        <vt:lpwstr/>
      </vt:variant>
      <vt:variant>
        <vt:i4>524394</vt:i4>
      </vt:variant>
      <vt:variant>
        <vt:i4>3</vt:i4>
      </vt:variant>
      <vt:variant>
        <vt:i4>0</vt:i4>
      </vt:variant>
      <vt:variant>
        <vt:i4>5</vt:i4>
      </vt:variant>
      <vt:variant>
        <vt:lpwstr>mailto:Alain.Prat@theglobalfund.org</vt:lpwstr>
      </vt:variant>
      <vt:variant>
        <vt:lpwstr/>
      </vt:variant>
      <vt:variant>
        <vt:i4>524394</vt:i4>
      </vt:variant>
      <vt:variant>
        <vt:i4>0</vt:i4>
      </vt:variant>
      <vt:variant>
        <vt:i4>0</vt:i4>
      </vt:variant>
      <vt:variant>
        <vt:i4>5</vt:i4>
      </vt:variant>
      <vt:variant>
        <vt:lpwstr>mailto:Alain.Prat@theglobalfund.org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Reichelt</dc:creator>
  <cp:keywords/>
  <dc:description/>
  <cp:lastModifiedBy>Susanne Reichelt</cp:lastModifiedBy>
  <cp:revision>2</cp:revision>
  <cp:lastPrinted>2025-11-18T19:36:00Z</cp:lastPrinted>
  <dcterms:created xsi:type="dcterms:W3CDTF">2026-04-23T09:45:00Z</dcterms:created>
  <dcterms:modified xsi:type="dcterms:W3CDTF">2026-04-23T09:45:00Z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_Version">
    <vt:lpwstr>1.0.8</vt:lpwstr>
  </property>
  <property fmtid="{D5CDD505-2E9C-101B-9397-08002B2CF9AE}" pid="3" name="TemplafyTimeStamp">
    <vt:lpwstr>2021-08-25T16:28:36.8160608Z</vt:lpwstr>
  </property>
  <property fmtid="{D5CDD505-2E9C-101B-9397-08002B2CF9AE}" pid="4" name="ContentTypeId">
    <vt:lpwstr>0x010100B2BBFDF5D913F14FB3D35E0A8AAE7F1F</vt:lpwstr>
  </property>
  <property fmtid="{D5CDD505-2E9C-101B-9397-08002B2CF9AE}" pid="5" name="TemplafyTenantId">
    <vt:lpwstr>theglobalfund</vt:lpwstr>
  </property>
  <property fmtid="{D5CDD505-2E9C-101B-9397-08002B2CF9AE}" pid="6" name="TemplafyTemplateId">
    <vt:lpwstr>637599554276587873</vt:lpwstr>
  </property>
  <property fmtid="{D5CDD505-2E9C-101B-9397-08002B2CF9AE}" pid="7" name="TemplafyUserProfileId">
    <vt:lpwstr>636916863626938073</vt:lpwstr>
  </property>
  <property fmtid="{D5CDD505-2E9C-101B-9397-08002B2CF9AE}" pid="8" name="TemplafyLanguageCode">
    <vt:lpwstr>en-US</vt:lpwstr>
  </property>
  <property fmtid="{D5CDD505-2E9C-101B-9397-08002B2CF9AE}" pid="9" name="Language">
    <vt:lpwstr>en-US</vt:lpwstr>
  </property>
  <property fmtid="{D5CDD505-2E9C-101B-9397-08002B2CF9AE}" pid="10" name="MediaServiceImageTags">
    <vt:lpwstr/>
  </property>
</Properties>
</file>