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5A7E" w14:textId="24BCAA29" w:rsidR="00F90F48" w:rsidRDefault="00D017D2" w:rsidP="00842C7E">
      <w:pPr>
        <w:pStyle w:val="Title"/>
      </w:pPr>
      <w:r>
        <w:t>Terms of Reference</w:t>
      </w:r>
    </w:p>
    <w:p w14:paraId="77AF9C3B" w14:textId="77777777" w:rsidR="004A7FC0" w:rsidRDefault="004A7FC0" w:rsidP="00E81AC0">
      <w:pPr>
        <w:pStyle w:val="Subtitle"/>
        <w:spacing w:after="840"/>
      </w:pPr>
    </w:p>
    <w:p w14:paraId="50005017" w14:textId="70473B02" w:rsidR="00E81AC0" w:rsidRDefault="00D017D2" w:rsidP="00E81AC0">
      <w:pPr>
        <w:pStyle w:val="Subtitle"/>
        <w:spacing w:after="840"/>
      </w:pPr>
      <w:r>
        <w:t>Asset Management Review</w:t>
      </w:r>
    </w:p>
    <w:p w14:paraId="370D64AA" w14:textId="51ABD13C" w:rsidR="007A450B" w:rsidRDefault="00D017D2" w:rsidP="00E81AC0">
      <w:r>
        <w:t>July 2025</w:t>
      </w:r>
    </w:p>
    <w:p w14:paraId="62531B72" w14:textId="77777777" w:rsidR="00312E86" w:rsidRDefault="00312E86" w:rsidP="00E81AC0"/>
    <w:p w14:paraId="1A23CF57" w14:textId="6AD5F1E1" w:rsidR="00312E86" w:rsidRDefault="00312E86">
      <w:pPr>
        <w:spacing w:before="120" w:line="240" w:lineRule="atLeast"/>
      </w:pPr>
      <w:r>
        <w:br w:type="page"/>
      </w:r>
    </w:p>
    <w:p w14:paraId="647BC5B5" w14:textId="77777777" w:rsidR="002C2D2B" w:rsidRPr="006B4203" w:rsidRDefault="002C2D2B" w:rsidP="004D2B2A">
      <w:pPr>
        <w:spacing w:before="100" w:after="100" w:line="240" w:lineRule="auto"/>
        <w:rPr>
          <w:rFonts w:asciiTheme="minorHAnsi" w:eastAsia="Arial" w:hAnsiTheme="minorHAnsi" w:cstheme="minorHAnsi"/>
          <w:b/>
          <w:bCs/>
          <w:color w:val="000000" w:themeColor="text1"/>
          <w:sz w:val="22"/>
          <w:u w:val="single"/>
        </w:rPr>
      </w:pPr>
      <w:r w:rsidRPr="006B4203">
        <w:rPr>
          <w:rFonts w:asciiTheme="minorHAnsi" w:eastAsia="Arial" w:hAnsiTheme="minorHAnsi" w:cstheme="minorHAnsi"/>
          <w:b/>
          <w:bCs/>
          <w:color w:val="000000" w:themeColor="text1"/>
          <w:sz w:val="22"/>
          <w:u w:val="single"/>
        </w:rPr>
        <w:lastRenderedPageBreak/>
        <w:t>Background information</w:t>
      </w:r>
    </w:p>
    <w:p w14:paraId="708091A2" w14:textId="06E9033D" w:rsidR="00530CF1" w:rsidRPr="002D272E" w:rsidRDefault="002C2D2B" w:rsidP="004D2B2A">
      <w:pPr>
        <w:spacing w:before="100" w:after="100" w:line="240" w:lineRule="auto"/>
        <w:jc w:val="both"/>
        <w:rPr>
          <w:rFonts w:eastAsia="Arial" w:cs="Arial"/>
          <w:color w:val="000000" w:themeColor="text1"/>
          <w:sz w:val="22"/>
        </w:rPr>
      </w:pPr>
      <w:r w:rsidRPr="006B4203">
        <w:rPr>
          <w:rFonts w:asciiTheme="minorHAnsi" w:eastAsia="Arial" w:hAnsiTheme="minorHAnsi" w:cstheme="minorHAnsi"/>
          <w:color w:val="000000" w:themeColor="text1"/>
          <w:sz w:val="22"/>
        </w:rPr>
        <w:t>These Terms of Reference (</w:t>
      </w:r>
      <w:proofErr w:type="spellStart"/>
      <w:r w:rsidRPr="006B4203">
        <w:rPr>
          <w:rFonts w:asciiTheme="minorHAnsi" w:eastAsia="Arial" w:hAnsiTheme="minorHAnsi" w:cstheme="minorHAnsi"/>
          <w:color w:val="000000" w:themeColor="text1"/>
          <w:sz w:val="22"/>
        </w:rPr>
        <w:t>ToR</w:t>
      </w:r>
      <w:proofErr w:type="spellEnd"/>
      <w:r w:rsidRPr="006B4203">
        <w:rPr>
          <w:rFonts w:asciiTheme="minorHAnsi" w:eastAsia="Arial" w:hAnsiTheme="minorHAnsi" w:cstheme="minorHAnsi"/>
          <w:color w:val="000000" w:themeColor="text1"/>
          <w:sz w:val="22"/>
        </w:rPr>
        <w:t xml:space="preserve">) provide a general framework for </w:t>
      </w:r>
      <w:r w:rsidRPr="00700608">
        <w:rPr>
          <w:rFonts w:asciiTheme="minorHAnsi" w:eastAsia="Arial" w:hAnsiTheme="minorHAnsi" w:cstheme="minorHAnsi"/>
          <w:b/>
          <w:bCs/>
          <w:color w:val="000000" w:themeColor="text1"/>
          <w:sz w:val="22"/>
        </w:rPr>
        <w:t xml:space="preserve">Asset Management </w:t>
      </w:r>
      <w:r w:rsidR="00700608" w:rsidRPr="00700608">
        <w:rPr>
          <w:rFonts w:asciiTheme="minorHAnsi" w:eastAsia="Arial" w:hAnsiTheme="minorHAnsi" w:cstheme="minorHAnsi"/>
          <w:b/>
          <w:bCs/>
          <w:color w:val="000000" w:themeColor="text1"/>
          <w:sz w:val="22"/>
        </w:rPr>
        <w:t>Review</w:t>
      </w:r>
      <w:r w:rsidRPr="006B4203">
        <w:rPr>
          <w:rFonts w:asciiTheme="minorHAnsi" w:eastAsia="Arial" w:hAnsiTheme="minorHAnsi" w:cstheme="minorHAnsi"/>
          <w:color w:val="000000" w:themeColor="text1"/>
          <w:sz w:val="22"/>
        </w:rPr>
        <w:t xml:space="preserve"> assurance assignments but should be tailored to each case’s specific needs and context for maximum relevance and effectiveness. </w:t>
      </w:r>
      <w:r w:rsidR="00530CF1" w:rsidRPr="002D272E">
        <w:rPr>
          <w:rFonts w:eastAsia="Arial" w:cs="Arial"/>
          <w:color w:val="000000" w:themeColor="text1"/>
          <w:sz w:val="22"/>
        </w:rPr>
        <w:t xml:space="preserve">Selecting an appropriate sample size is crucial for meaningful insights—it should reflect </w:t>
      </w:r>
      <w:r w:rsidR="00530CF1">
        <w:rPr>
          <w:rFonts w:eastAsia="Arial" w:cs="Arial"/>
          <w:color w:val="000000" w:themeColor="text1"/>
          <w:sz w:val="22"/>
        </w:rPr>
        <w:t>asset-</w:t>
      </w:r>
      <w:r w:rsidR="00530CF1" w:rsidRPr="002D272E">
        <w:rPr>
          <w:rFonts w:eastAsia="Arial" w:cs="Arial"/>
          <w:color w:val="000000" w:themeColor="text1"/>
          <w:sz w:val="22"/>
        </w:rPr>
        <w:t>related risks while considering data availability and internal controls.</w:t>
      </w:r>
    </w:p>
    <w:p w14:paraId="591838C8" w14:textId="77777777" w:rsidR="0087476B" w:rsidRPr="00027BEC" w:rsidRDefault="0087476B" w:rsidP="004D2B2A">
      <w:pPr>
        <w:spacing w:before="100" w:after="100" w:line="240" w:lineRule="auto"/>
        <w:rPr>
          <w:rFonts w:asciiTheme="minorHAnsi" w:eastAsia="Arial" w:hAnsiTheme="minorHAnsi" w:cstheme="minorHAnsi"/>
          <w:b/>
          <w:bCs/>
          <w:color w:val="000000" w:themeColor="text1"/>
          <w:sz w:val="18"/>
          <w:szCs w:val="18"/>
          <w:u w:val="single"/>
        </w:rPr>
      </w:pPr>
    </w:p>
    <w:p w14:paraId="0AE80D59" w14:textId="55C09B72" w:rsidR="00312E86" w:rsidRPr="00700608" w:rsidRDefault="00312E86" w:rsidP="004D2B2A">
      <w:pPr>
        <w:spacing w:before="100" w:after="100" w:line="240" w:lineRule="auto"/>
        <w:rPr>
          <w:rFonts w:asciiTheme="minorHAnsi" w:eastAsia="Arial" w:hAnsiTheme="minorHAnsi" w:cstheme="minorHAnsi"/>
          <w:b/>
          <w:bCs/>
          <w:color w:val="000000" w:themeColor="text1"/>
          <w:sz w:val="22"/>
          <w:u w:val="single"/>
        </w:rPr>
      </w:pPr>
      <w:r w:rsidRPr="00700608">
        <w:rPr>
          <w:rFonts w:asciiTheme="minorHAnsi" w:eastAsia="Arial" w:hAnsiTheme="minorHAnsi" w:cstheme="minorHAnsi"/>
          <w:b/>
          <w:bCs/>
          <w:color w:val="000000" w:themeColor="text1"/>
          <w:sz w:val="22"/>
          <w:u w:val="single"/>
        </w:rPr>
        <w:t xml:space="preserve">Objective </w:t>
      </w:r>
    </w:p>
    <w:p w14:paraId="0354CE80" w14:textId="77777777" w:rsidR="00312E86" w:rsidRDefault="00312E86" w:rsidP="004D2B2A">
      <w:pPr>
        <w:pStyle w:val="ListParagraph"/>
        <w:spacing w:before="100" w:after="100" w:line="240" w:lineRule="auto"/>
        <w:ind w:left="0"/>
        <w:rPr>
          <w:sz w:val="22"/>
        </w:rPr>
      </w:pPr>
      <w:r w:rsidRPr="0087476B">
        <w:rPr>
          <w:sz w:val="22"/>
        </w:rPr>
        <w:t>The objective of this review is to:</w:t>
      </w:r>
    </w:p>
    <w:p w14:paraId="1D8DDB59" w14:textId="46A7A60C" w:rsidR="00312E86" w:rsidRDefault="00312E86" w:rsidP="004D2B2A">
      <w:pPr>
        <w:pStyle w:val="ListParagraph"/>
        <w:numPr>
          <w:ilvl w:val="0"/>
          <w:numId w:val="27"/>
        </w:numPr>
        <w:spacing w:before="100" w:after="100" w:line="240" w:lineRule="auto"/>
        <w:rPr>
          <w:color w:val="2E4DF9" w:themeColor="accent2"/>
          <w:sz w:val="22"/>
        </w:rPr>
      </w:pPr>
      <w:r>
        <w:rPr>
          <w:sz w:val="22"/>
        </w:rPr>
        <w:t>Assess whether</w:t>
      </w:r>
      <w:r w:rsidRPr="00516674">
        <w:rPr>
          <w:sz w:val="22"/>
        </w:rPr>
        <w:t xml:space="preserve"> policies and procedures are in place based on applicable laws and regulations, including donor requirements, to provide guidelines for </w:t>
      </w:r>
      <w:r>
        <w:rPr>
          <w:sz w:val="22"/>
        </w:rPr>
        <w:t xml:space="preserve">fixed </w:t>
      </w:r>
      <w:r w:rsidRPr="00516674">
        <w:rPr>
          <w:sz w:val="22"/>
        </w:rPr>
        <w:t>asset management.</w:t>
      </w:r>
      <w:r>
        <w:rPr>
          <w:sz w:val="22"/>
        </w:rPr>
        <w:t xml:space="preserve"> The Global Funds guidelines for fixed asset management are </w:t>
      </w:r>
      <w:r w:rsidR="00746877">
        <w:rPr>
          <w:sz w:val="22"/>
        </w:rPr>
        <w:t>found here</w:t>
      </w:r>
      <w:r w:rsidR="00BA3D83">
        <w:rPr>
          <w:sz w:val="22"/>
        </w:rPr>
        <w:t xml:space="preserve">: </w:t>
      </w:r>
      <w:hyperlink r:id="rId13" w:history="1">
        <w:r w:rsidR="00D9100C" w:rsidRPr="00BA3D83">
          <w:rPr>
            <w:rStyle w:val="Hyperlink"/>
            <w:sz w:val="22"/>
          </w:rPr>
          <w:t>Guidelines for fixed assets management.</w:t>
        </w:r>
      </w:hyperlink>
      <w:r w:rsidR="00D9100C">
        <w:rPr>
          <w:sz w:val="22"/>
        </w:rPr>
        <w:t xml:space="preserve"> </w:t>
      </w:r>
    </w:p>
    <w:p w14:paraId="522EF0EB" w14:textId="77777777" w:rsidR="0035573A" w:rsidRPr="00027BEC" w:rsidRDefault="0035573A" w:rsidP="004D2B2A">
      <w:pPr>
        <w:pStyle w:val="ListParagraph"/>
        <w:spacing w:before="100" w:after="100" w:line="240" w:lineRule="auto"/>
        <w:ind w:left="360"/>
        <w:rPr>
          <w:color w:val="2E4DF9" w:themeColor="accent2"/>
          <w:sz w:val="18"/>
          <w:szCs w:val="18"/>
        </w:rPr>
      </w:pPr>
    </w:p>
    <w:p w14:paraId="6624B847" w14:textId="04C30806" w:rsidR="00312E86" w:rsidRDefault="00312E86" w:rsidP="004D2B2A">
      <w:pPr>
        <w:pStyle w:val="ListParagraph"/>
        <w:numPr>
          <w:ilvl w:val="0"/>
          <w:numId w:val="27"/>
        </w:numPr>
        <w:spacing w:before="100" w:after="100" w:line="240" w:lineRule="auto"/>
        <w:rPr>
          <w:sz w:val="22"/>
        </w:rPr>
      </w:pPr>
      <w:r w:rsidRPr="00516674">
        <w:rPr>
          <w:sz w:val="22"/>
        </w:rPr>
        <w:t xml:space="preserve">To </w:t>
      </w:r>
      <w:r>
        <w:rPr>
          <w:sz w:val="22"/>
        </w:rPr>
        <w:t xml:space="preserve">confirm </w:t>
      </w:r>
      <w:r w:rsidR="00A3073A">
        <w:rPr>
          <w:sz w:val="22"/>
        </w:rPr>
        <w:t xml:space="preserve">whether </w:t>
      </w:r>
      <w:r w:rsidR="00A3073A" w:rsidRPr="00516674">
        <w:rPr>
          <w:sz w:val="22"/>
        </w:rPr>
        <w:t>the</w:t>
      </w:r>
      <w:r w:rsidRPr="00516674">
        <w:rPr>
          <w:sz w:val="22"/>
        </w:rPr>
        <w:t xml:space="preserve"> fixed</w:t>
      </w:r>
      <w:r>
        <w:rPr>
          <w:sz w:val="22"/>
        </w:rPr>
        <w:t xml:space="preserve"> </w:t>
      </w:r>
      <w:r w:rsidRPr="00516674">
        <w:rPr>
          <w:sz w:val="22"/>
        </w:rPr>
        <w:t>asset</w:t>
      </w:r>
      <w:r>
        <w:rPr>
          <w:sz w:val="22"/>
        </w:rPr>
        <w:t>s</w:t>
      </w:r>
      <w:r w:rsidRPr="00516674">
        <w:rPr>
          <w:sz w:val="22"/>
        </w:rPr>
        <w:t xml:space="preserve"> register is designed and maintained in accordance with the defined policies and procedures and is sufficiently detailed to allow easy identification of assets, including location.</w:t>
      </w:r>
    </w:p>
    <w:p w14:paraId="367D0410" w14:textId="77777777" w:rsidR="006C5364" w:rsidRPr="00027BEC" w:rsidRDefault="006C5364" w:rsidP="004D2B2A">
      <w:pPr>
        <w:pStyle w:val="ListParagraph"/>
        <w:spacing w:before="100" w:after="100" w:line="240" w:lineRule="auto"/>
        <w:rPr>
          <w:sz w:val="18"/>
          <w:szCs w:val="18"/>
        </w:rPr>
      </w:pPr>
    </w:p>
    <w:p w14:paraId="29BE588E" w14:textId="77777777" w:rsidR="00312E86" w:rsidRDefault="00312E86" w:rsidP="004D2B2A">
      <w:pPr>
        <w:pStyle w:val="ListParagraph"/>
        <w:numPr>
          <w:ilvl w:val="0"/>
          <w:numId w:val="27"/>
        </w:numPr>
        <w:spacing w:before="100" w:after="100" w:line="240" w:lineRule="auto"/>
        <w:rPr>
          <w:sz w:val="22"/>
        </w:rPr>
      </w:pPr>
      <w:r w:rsidRPr="00516674">
        <w:rPr>
          <w:sz w:val="22"/>
        </w:rPr>
        <w:t xml:space="preserve">To </w:t>
      </w:r>
      <w:r>
        <w:rPr>
          <w:sz w:val="22"/>
        </w:rPr>
        <w:t>ascertain that</w:t>
      </w:r>
      <w:r w:rsidRPr="00516674">
        <w:rPr>
          <w:sz w:val="22"/>
        </w:rPr>
        <w:t xml:space="preserve"> a physical verification of asset</w:t>
      </w:r>
      <w:r>
        <w:rPr>
          <w:sz w:val="22"/>
        </w:rPr>
        <w:t>s</w:t>
      </w:r>
      <w:r w:rsidRPr="00516674">
        <w:rPr>
          <w:sz w:val="22"/>
        </w:rPr>
        <w:t xml:space="preserve"> listed </w:t>
      </w:r>
      <w:r>
        <w:rPr>
          <w:sz w:val="22"/>
        </w:rPr>
        <w:t xml:space="preserve">in the fixed assets register </w:t>
      </w:r>
      <w:r w:rsidRPr="00516674">
        <w:rPr>
          <w:sz w:val="22"/>
        </w:rPr>
        <w:t xml:space="preserve">is carried out on </w:t>
      </w:r>
      <w:r>
        <w:rPr>
          <w:sz w:val="22"/>
        </w:rPr>
        <w:t xml:space="preserve">a </w:t>
      </w:r>
      <w:r w:rsidRPr="00516674">
        <w:rPr>
          <w:sz w:val="22"/>
        </w:rPr>
        <w:t>regular basis (at least once a year) to determine the actual existence of the asset</w:t>
      </w:r>
      <w:r>
        <w:rPr>
          <w:sz w:val="22"/>
        </w:rPr>
        <w:t>s</w:t>
      </w:r>
      <w:r w:rsidRPr="00516674">
        <w:rPr>
          <w:sz w:val="22"/>
        </w:rPr>
        <w:t xml:space="preserve"> and </w:t>
      </w:r>
      <w:r>
        <w:rPr>
          <w:sz w:val="22"/>
        </w:rPr>
        <w:t>their</w:t>
      </w:r>
      <w:r w:rsidRPr="00516674">
        <w:rPr>
          <w:sz w:val="22"/>
        </w:rPr>
        <w:t xml:space="preserve"> condition, the result thereof is reconciled with the books and any difference investigated.</w:t>
      </w:r>
    </w:p>
    <w:p w14:paraId="7DD3D741" w14:textId="77777777" w:rsidR="003E60B5" w:rsidRPr="00027BEC" w:rsidRDefault="003E60B5" w:rsidP="004D2B2A">
      <w:pPr>
        <w:pStyle w:val="ListParagraph"/>
        <w:spacing w:before="100" w:after="100" w:line="240" w:lineRule="auto"/>
        <w:rPr>
          <w:sz w:val="18"/>
          <w:szCs w:val="18"/>
        </w:rPr>
      </w:pPr>
    </w:p>
    <w:p w14:paraId="0658147C" w14:textId="77777777" w:rsidR="00312E86" w:rsidRDefault="00312E86" w:rsidP="004D2B2A">
      <w:pPr>
        <w:pStyle w:val="ListParagraph"/>
        <w:numPr>
          <w:ilvl w:val="0"/>
          <w:numId w:val="27"/>
        </w:numPr>
        <w:spacing w:before="100" w:after="100" w:line="240" w:lineRule="auto"/>
        <w:rPr>
          <w:sz w:val="22"/>
        </w:rPr>
      </w:pPr>
      <w:r w:rsidRPr="00516674">
        <w:rPr>
          <w:sz w:val="22"/>
        </w:rPr>
        <w:t xml:space="preserve">To ensure the general ledger is periodically reconciled </w:t>
      </w:r>
      <w:r>
        <w:rPr>
          <w:sz w:val="22"/>
        </w:rPr>
        <w:t xml:space="preserve">to the </w:t>
      </w:r>
      <w:r w:rsidRPr="00516674">
        <w:rPr>
          <w:sz w:val="22"/>
        </w:rPr>
        <w:t>assets register.</w:t>
      </w:r>
    </w:p>
    <w:p w14:paraId="59E26410" w14:textId="77777777" w:rsidR="003E60B5" w:rsidRPr="00027BEC" w:rsidRDefault="003E60B5" w:rsidP="004D2B2A">
      <w:pPr>
        <w:pStyle w:val="ListParagraph"/>
        <w:spacing w:before="100" w:after="100" w:line="240" w:lineRule="auto"/>
        <w:rPr>
          <w:sz w:val="18"/>
          <w:szCs w:val="18"/>
        </w:rPr>
      </w:pPr>
    </w:p>
    <w:p w14:paraId="7C1684CD" w14:textId="77777777" w:rsidR="00312E86" w:rsidRPr="00CA219F" w:rsidRDefault="00312E86" w:rsidP="004D2B2A">
      <w:pPr>
        <w:pStyle w:val="ListParagraph"/>
        <w:numPr>
          <w:ilvl w:val="0"/>
          <w:numId w:val="27"/>
        </w:numPr>
        <w:spacing w:before="100" w:after="100" w:line="240" w:lineRule="auto"/>
        <w:rPr>
          <w:i/>
          <w:iCs/>
          <w:sz w:val="22"/>
        </w:rPr>
      </w:pPr>
      <w:r>
        <w:rPr>
          <w:sz w:val="22"/>
        </w:rPr>
        <w:t xml:space="preserve">Assess whether </w:t>
      </w:r>
      <w:r w:rsidRPr="00516674">
        <w:rPr>
          <w:sz w:val="22"/>
        </w:rPr>
        <w:t>proper mechanism is in place to ensure appropriate insurance protection and repairs and maintenance of fixed assets.</w:t>
      </w:r>
    </w:p>
    <w:p w14:paraId="06F1AFAD" w14:textId="77777777" w:rsidR="00312E86" w:rsidRPr="00027BEC" w:rsidRDefault="00312E86" w:rsidP="004D2B2A">
      <w:pPr>
        <w:spacing w:before="100" w:after="100" w:line="240" w:lineRule="auto"/>
        <w:rPr>
          <w:i/>
          <w:iCs/>
          <w:sz w:val="18"/>
          <w:szCs w:val="18"/>
        </w:rPr>
      </w:pPr>
    </w:p>
    <w:p w14:paraId="00ED356D" w14:textId="77777777" w:rsidR="00312E86" w:rsidRPr="003E60B5" w:rsidRDefault="00312E86" w:rsidP="004D2B2A">
      <w:pPr>
        <w:spacing w:before="100" w:after="100" w:line="240" w:lineRule="auto"/>
        <w:rPr>
          <w:rFonts w:asciiTheme="minorHAnsi" w:eastAsia="Arial" w:hAnsiTheme="minorHAnsi" w:cstheme="minorHAnsi"/>
          <w:b/>
          <w:bCs/>
          <w:color w:val="000000" w:themeColor="text1"/>
          <w:sz w:val="22"/>
          <w:u w:val="single"/>
        </w:rPr>
      </w:pPr>
      <w:r w:rsidRPr="003E60B5">
        <w:rPr>
          <w:rFonts w:asciiTheme="minorHAnsi" w:eastAsia="Arial" w:hAnsiTheme="minorHAnsi" w:cstheme="minorHAnsi"/>
          <w:b/>
          <w:bCs/>
          <w:color w:val="000000" w:themeColor="text1"/>
          <w:sz w:val="22"/>
          <w:u w:val="single"/>
        </w:rPr>
        <w:t>Scope of work</w:t>
      </w:r>
    </w:p>
    <w:p w14:paraId="27274534" w14:textId="77777777" w:rsidR="00312E86" w:rsidRPr="0055328F" w:rsidRDefault="00312E86" w:rsidP="004D2B2A">
      <w:pPr>
        <w:spacing w:before="100" w:after="100" w:line="240" w:lineRule="auto"/>
        <w:rPr>
          <w:sz w:val="22"/>
        </w:rPr>
      </w:pPr>
      <w:r w:rsidRPr="0055328F">
        <w:rPr>
          <w:sz w:val="22"/>
        </w:rPr>
        <w:t xml:space="preserve">Scope of work could either be </w:t>
      </w:r>
      <w:r>
        <w:rPr>
          <w:sz w:val="22"/>
        </w:rPr>
        <w:t xml:space="preserve">one </w:t>
      </w:r>
      <w:r w:rsidRPr="0055328F">
        <w:rPr>
          <w:sz w:val="22"/>
        </w:rPr>
        <w:t>or a combination of both:</w:t>
      </w:r>
    </w:p>
    <w:p w14:paraId="2896B4FC" w14:textId="77777777" w:rsidR="00312E86" w:rsidRDefault="00312E86" w:rsidP="004D2B2A">
      <w:pPr>
        <w:pStyle w:val="ListParagraph"/>
        <w:numPr>
          <w:ilvl w:val="0"/>
          <w:numId w:val="26"/>
        </w:numPr>
        <w:spacing w:before="100" w:after="100" w:line="240" w:lineRule="auto"/>
        <w:rPr>
          <w:sz w:val="22"/>
        </w:rPr>
      </w:pPr>
      <w:r w:rsidRPr="0055328F">
        <w:rPr>
          <w:sz w:val="22"/>
        </w:rPr>
        <w:t xml:space="preserve">Assess the design and operating effectiveness of </w:t>
      </w:r>
      <w:r>
        <w:rPr>
          <w:sz w:val="22"/>
        </w:rPr>
        <w:t xml:space="preserve">implementers </w:t>
      </w:r>
      <w:r w:rsidRPr="00516674">
        <w:rPr>
          <w:sz w:val="22"/>
        </w:rPr>
        <w:t>policies and procedures</w:t>
      </w:r>
      <w:r>
        <w:rPr>
          <w:sz w:val="22"/>
        </w:rPr>
        <w:t xml:space="preserve"> to manage fixed assets</w:t>
      </w:r>
      <w:r w:rsidRPr="0055328F">
        <w:rPr>
          <w:sz w:val="22"/>
        </w:rPr>
        <w:t xml:space="preserve">. </w:t>
      </w:r>
    </w:p>
    <w:p w14:paraId="2FCAD169" w14:textId="77777777" w:rsidR="002C2DAC" w:rsidRPr="00027BEC" w:rsidRDefault="002C2DAC" w:rsidP="004D2B2A">
      <w:pPr>
        <w:pStyle w:val="ListParagraph"/>
        <w:spacing w:before="100" w:after="100" w:line="240" w:lineRule="auto"/>
        <w:ind w:left="360"/>
        <w:rPr>
          <w:sz w:val="18"/>
          <w:szCs w:val="18"/>
        </w:rPr>
      </w:pPr>
    </w:p>
    <w:p w14:paraId="38A9E567" w14:textId="77777777" w:rsidR="00312E86" w:rsidRPr="0055328F" w:rsidRDefault="00312E86" w:rsidP="004D2B2A">
      <w:pPr>
        <w:pStyle w:val="ListParagraph"/>
        <w:numPr>
          <w:ilvl w:val="0"/>
          <w:numId w:val="26"/>
        </w:numPr>
        <w:spacing w:before="100" w:after="100" w:line="240" w:lineRule="auto"/>
        <w:rPr>
          <w:sz w:val="22"/>
        </w:rPr>
      </w:pPr>
      <w:r w:rsidRPr="0055328F">
        <w:rPr>
          <w:sz w:val="22"/>
        </w:rPr>
        <w:t>Test account balances reported either at PR</w:t>
      </w:r>
      <w:r>
        <w:rPr>
          <w:sz w:val="22"/>
        </w:rPr>
        <w:t xml:space="preserve"> </w:t>
      </w:r>
      <w:r w:rsidRPr="0055328F">
        <w:rPr>
          <w:sz w:val="22"/>
        </w:rPr>
        <w:t>level or at SR level</w:t>
      </w:r>
    </w:p>
    <w:p w14:paraId="68D264F0" w14:textId="77777777" w:rsidR="00312E86" w:rsidRPr="00027BEC" w:rsidRDefault="00312E86" w:rsidP="004D2B2A">
      <w:pPr>
        <w:pStyle w:val="ListParagraph"/>
        <w:spacing w:before="100" w:after="100" w:line="240" w:lineRule="auto"/>
        <w:rPr>
          <w:sz w:val="18"/>
          <w:szCs w:val="18"/>
        </w:rPr>
      </w:pPr>
    </w:p>
    <w:p w14:paraId="6A773C7A" w14:textId="77777777" w:rsidR="00312E86" w:rsidRPr="007A184F" w:rsidRDefault="00312E86" w:rsidP="004D2B2A">
      <w:pPr>
        <w:spacing w:before="100" w:after="100" w:line="240" w:lineRule="auto"/>
        <w:rPr>
          <w:rFonts w:asciiTheme="minorHAnsi" w:eastAsia="Arial" w:hAnsiTheme="minorHAnsi" w:cstheme="minorHAnsi"/>
          <w:b/>
          <w:bCs/>
          <w:color w:val="000000" w:themeColor="text1"/>
          <w:sz w:val="22"/>
          <w:u w:val="single"/>
        </w:rPr>
      </w:pPr>
      <w:r w:rsidRPr="007A184F">
        <w:rPr>
          <w:rFonts w:asciiTheme="minorHAnsi" w:eastAsia="Arial" w:hAnsiTheme="minorHAnsi" w:cstheme="minorHAnsi"/>
          <w:b/>
          <w:bCs/>
          <w:color w:val="000000" w:themeColor="text1"/>
          <w:sz w:val="22"/>
          <w:u w:val="single"/>
        </w:rPr>
        <w:t xml:space="preserve">Not covered by this </w:t>
      </w:r>
      <w:proofErr w:type="spellStart"/>
      <w:r w:rsidRPr="007A184F">
        <w:rPr>
          <w:rFonts w:asciiTheme="minorHAnsi" w:eastAsia="Arial" w:hAnsiTheme="minorHAnsi" w:cstheme="minorHAnsi"/>
          <w:b/>
          <w:bCs/>
          <w:color w:val="000000" w:themeColor="text1"/>
          <w:sz w:val="22"/>
          <w:u w:val="single"/>
        </w:rPr>
        <w:t>ToR</w:t>
      </w:r>
      <w:proofErr w:type="spellEnd"/>
    </w:p>
    <w:p w14:paraId="7B5806BC" w14:textId="77777777" w:rsidR="00312E86" w:rsidRPr="007A184F" w:rsidRDefault="00312E86" w:rsidP="004D2B2A">
      <w:pPr>
        <w:spacing w:before="100" w:after="100" w:line="240" w:lineRule="auto"/>
        <w:rPr>
          <w:sz w:val="22"/>
        </w:rPr>
      </w:pPr>
      <w:r w:rsidRPr="007A184F">
        <w:rPr>
          <w:sz w:val="22"/>
        </w:rPr>
        <w:t xml:space="preserve">IT General Controls (ITGC) or General Computer Controls (GCC) are controls which relate to the environment that supports IT Applications. Obtaining assurance over the appropriateness and effectiveness of ITGC’s is out of scope for this </w:t>
      </w:r>
      <w:proofErr w:type="spellStart"/>
      <w:r w:rsidRPr="007A184F">
        <w:rPr>
          <w:sz w:val="22"/>
        </w:rPr>
        <w:t>ToR</w:t>
      </w:r>
      <w:proofErr w:type="spellEnd"/>
      <w:r w:rsidRPr="007A184F">
        <w:rPr>
          <w:sz w:val="22"/>
        </w:rPr>
        <w:t xml:space="preserve"> but rather </w:t>
      </w:r>
      <w:r w:rsidRPr="007A184F">
        <w:rPr>
          <w:rFonts w:cs="Arial"/>
          <w:sz w:val="22"/>
          <w:shd w:val="clear" w:color="auto" w:fill="FFFFFF"/>
        </w:rPr>
        <w:t>subject to another specialist IT audit.</w:t>
      </w:r>
    </w:p>
    <w:p w14:paraId="2B20D0A9" w14:textId="77777777" w:rsidR="00750A2A" w:rsidRPr="00027BEC" w:rsidRDefault="00750A2A" w:rsidP="004D2B2A">
      <w:pPr>
        <w:spacing w:before="100" w:after="100" w:line="240" w:lineRule="auto"/>
        <w:rPr>
          <w:b/>
          <w:bCs/>
          <w:sz w:val="18"/>
          <w:szCs w:val="18"/>
        </w:rPr>
      </w:pPr>
    </w:p>
    <w:p w14:paraId="070526C1" w14:textId="77777777" w:rsidR="00312E86" w:rsidRPr="00357E51" w:rsidRDefault="00312E86" w:rsidP="004D2B2A">
      <w:pPr>
        <w:spacing w:before="100" w:after="100" w:line="240" w:lineRule="auto"/>
        <w:rPr>
          <w:b/>
          <w:bCs/>
          <w:sz w:val="22"/>
        </w:rPr>
      </w:pPr>
      <w:r w:rsidRPr="00357E51">
        <w:rPr>
          <w:b/>
          <w:bCs/>
          <w:sz w:val="22"/>
        </w:rPr>
        <w:t>Applicable Corporate Risk</w:t>
      </w:r>
    </w:p>
    <w:tbl>
      <w:tblPr>
        <w:tblStyle w:val="TableGrid"/>
        <w:tblW w:w="0" w:type="auto"/>
        <w:tblLook w:val="04A0" w:firstRow="1" w:lastRow="0" w:firstColumn="1" w:lastColumn="0" w:noHBand="0" w:noVBand="1"/>
      </w:tblPr>
      <w:tblGrid>
        <w:gridCol w:w="4815"/>
        <w:gridCol w:w="4819"/>
      </w:tblGrid>
      <w:tr w:rsidR="00312E86" w:rsidRPr="00357E51" w14:paraId="097F7B1D" w14:textId="77777777" w:rsidTr="00557AC5">
        <w:trPr>
          <w:trHeight w:val="327"/>
        </w:trPr>
        <w:tc>
          <w:tcPr>
            <w:tcW w:w="4815" w:type="dxa"/>
            <w:vMerge w:val="restart"/>
          </w:tcPr>
          <w:p w14:paraId="6BAC6186" w14:textId="77777777" w:rsidR="00312E86" w:rsidRPr="00357E51" w:rsidRDefault="00312E86" w:rsidP="004D2B2A">
            <w:pPr>
              <w:spacing w:before="100" w:after="100" w:line="240" w:lineRule="auto"/>
              <w:rPr>
                <w:sz w:val="22"/>
              </w:rPr>
            </w:pPr>
            <w:r w:rsidRPr="00357E51">
              <w:rPr>
                <w:sz w:val="22"/>
              </w:rPr>
              <w:t>Grant-related Fraud &amp; Fiduciary</w:t>
            </w:r>
          </w:p>
        </w:tc>
        <w:tc>
          <w:tcPr>
            <w:tcW w:w="4819" w:type="dxa"/>
          </w:tcPr>
          <w:p w14:paraId="4F264059" w14:textId="77777777" w:rsidR="00312E86" w:rsidRPr="00357E51" w:rsidRDefault="00312E86" w:rsidP="004D2B2A">
            <w:pPr>
              <w:spacing w:before="100" w:after="100" w:line="240" w:lineRule="auto"/>
              <w:rPr>
                <w:sz w:val="22"/>
              </w:rPr>
            </w:pPr>
            <w:r w:rsidRPr="00357E51">
              <w:rPr>
                <w:sz w:val="22"/>
              </w:rPr>
              <w:t>Flow of Funds Arrangement</w:t>
            </w:r>
          </w:p>
        </w:tc>
      </w:tr>
      <w:tr w:rsidR="00312E86" w:rsidRPr="00357E51" w14:paraId="7B168A23" w14:textId="77777777" w:rsidTr="00557AC5">
        <w:trPr>
          <w:trHeight w:val="292"/>
        </w:trPr>
        <w:tc>
          <w:tcPr>
            <w:tcW w:w="4815" w:type="dxa"/>
            <w:vMerge/>
          </w:tcPr>
          <w:p w14:paraId="7AA2C6C5" w14:textId="77777777" w:rsidR="00312E86" w:rsidRPr="00357E51" w:rsidRDefault="00312E86" w:rsidP="004D2B2A">
            <w:pPr>
              <w:spacing w:before="100" w:after="100" w:line="240" w:lineRule="auto"/>
              <w:rPr>
                <w:sz w:val="22"/>
              </w:rPr>
            </w:pPr>
          </w:p>
        </w:tc>
        <w:tc>
          <w:tcPr>
            <w:tcW w:w="4819" w:type="dxa"/>
            <w:shd w:val="clear" w:color="auto" w:fill="auto"/>
          </w:tcPr>
          <w:p w14:paraId="51B07F75" w14:textId="77777777" w:rsidR="00312E86" w:rsidRPr="003563E0" w:rsidRDefault="00312E86" w:rsidP="004D2B2A">
            <w:pPr>
              <w:spacing w:before="100" w:after="100" w:line="240" w:lineRule="auto"/>
              <w:rPr>
                <w:sz w:val="22"/>
              </w:rPr>
            </w:pPr>
            <w:r w:rsidRPr="003563E0">
              <w:rPr>
                <w:sz w:val="22"/>
              </w:rPr>
              <w:t>Internal Controls</w:t>
            </w:r>
          </w:p>
        </w:tc>
      </w:tr>
      <w:tr w:rsidR="00312E86" w:rsidRPr="00357E51" w14:paraId="306C630A" w14:textId="77777777" w:rsidTr="00557AC5">
        <w:tc>
          <w:tcPr>
            <w:tcW w:w="4815" w:type="dxa"/>
            <w:vMerge/>
          </w:tcPr>
          <w:p w14:paraId="2ABE4A5E" w14:textId="77777777" w:rsidR="00312E86" w:rsidRPr="00357E51" w:rsidRDefault="00312E86" w:rsidP="004D2B2A">
            <w:pPr>
              <w:spacing w:before="100" w:after="100" w:line="240" w:lineRule="auto"/>
              <w:rPr>
                <w:sz w:val="22"/>
              </w:rPr>
            </w:pPr>
          </w:p>
        </w:tc>
        <w:tc>
          <w:tcPr>
            <w:tcW w:w="4819" w:type="dxa"/>
          </w:tcPr>
          <w:p w14:paraId="6137B01E" w14:textId="77777777" w:rsidR="00312E86" w:rsidRPr="00357E51" w:rsidRDefault="00312E86" w:rsidP="004D2B2A">
            <w:pPr>
              <w:spacing w:before="100" w:after="100" w:line="240" w:lineRule="auto"/>
              <w:rPr>
                <w:sz w:val="22"/>
              </w:rPr>
            </w:pPr>
            <w:r w:rsidRPr="00357E51">
              <w:rPr>
                <w:sz w:val="22"/>
              </w:rPr>
              <w:t>Financial Fraud, Corruption &amp; Theft</w:t>
            </w:r>
          </w:p>
        </w:tc>
      </w:tr>
      <w:tr w:rsidR="00312E86" w:rsidRPr="00357E51" w14:paraId="36874677" w14:textId="77777777" w:rsidTr="00557AC5">
        <w:tc>
          <w:tcPr>
            <w:tcW w:w="4815" w:type="dxa"/>
            <w:vMerge/>
          </w:tcPr>
          <w:p w14:paraId="49203EF0" w14:textId="77777777" w:rsidR="00312E86" w:rsidRPr="00357E51" w:rsidRDefault="00312E86" w:rsidP="004D2B2A">
            <w:pPr>
              <w:spacing w:before="100" w:after="100" w:line="240" w:lineRule="auto"/>
              <w:rPr>
                <w:sz w:val="22"/>
              </w:rPr>
            </w:pPr>
          </w:p>
        </w:tc>
        <w:tc>
          <w:tcPr>
            <w:tcW w:w="4819" w:type="dxa"/>
            <w:shd w:val="clear" w:color="auto" w:fill="BEBEBE" w:themeFill="text2" w:themeFillTint="99"/>
          </w:tcPr>
          <w:p w14:paraId="751B61E3" w14:textId="77777777" w:rsidR="00312E86" w:rsidRPr="00357E51" w:rsidRDefault="00312E86" w:rsidP="004D2B2A">
            <w:pPr>
              <w:spacing w:before="100" w:after="100" w:line="240" w:lineRule="auto"/>
              <w:rPr>
                <w:b/>
                <w:bCs/>
                <w:sz w:val="22"/>
              </w:rPr>
            </w:pPr>
            <w:r w:rsidRPr="00357E51">
              <w:rPr>
                <w:b/>
                <w:bCs/>
                <w:sz w:val="22"/>
              </w:rPr>
              <w:t>Value for Money - Financial Management</w:t>
            </w:r>
          </w:p>
        </w:tc>
      </w:tr>
      <w:tr w:rsidR="00312E86" w:rsidRPr="00357E51" w14:paraId="776A92F4" w14:textId="77777777" w:rsidTr="00557AC5">
        <w:tc>
          <w:tcPr>
            <w:tcW w:w="4815" w:type="dxa"/>
            <w:vMerge w:val="restart"/>
          </w:tcPr>
          <w:p w14:paraId="7EA70696" w14:textId="77777777" w:rsidR="00312E86" w:rsidRPr="00357E51" w:rsidRDefault="00312E86" w:rsidP="004D2B2A">
            <w:pPr>
              <w:spacing w:before="100" w:after="100" w:line="240" w:lineRule="auto"/>
              <w:rPr>
                <w:sz w:val="22"/>
              </w:rPr>
            </w:pPr>
            <w:r w:rsidRPr="00357E51">
              <w:rPr>
                <w:sz w:val="22"/>
              </w:rPr>
              <w:t>Accounting &amp; Financial Reporting by Countries</w:t>
            </w:r>
          </w:p>
        </w:tc>
        <w:tc>
          <w:tcPr>
            <w:tcW w:w="4819" w:type="dxa"/>
            <w:shd w:val="clear" w:color="auto" w:fill="auto"/>
          </w:tcPr>
          <w:p w14:paraId="68B4B402" w14:textId="77777777" w:rsidR="00312E86" w:rsidRPr="00357E51" w:rsidRDefault="00312E86" w:rsidP="004D2B2A">
            <w:pPr>
              <w:spacing w:before="100" w:after="100" w:line="240" w:lineRule="auto"/>
              <w:rPr>
                <w:sz w:val="22"/>
              </w:rPr>
            </w:pPr>
            <w:r w:rsidRPr="00357E51">
              <w:rPr>
                <w:sz w:val="22"/>
              </w:rPr>
              <w:t>Accounting &amp; Financial Reporting</w:t>
            </w:r>
          </w:p>
        </w:tc>
      </w:tr>
      <w:tr w:rsidR="00312E86" w:rsidRPr="00357E51" w14:paraId="5A6F0EE2" w14:textId="77777777" w:rsidTr="00557AC5">
        <w:tc>
          <w:tcPr>
            <w:tcW w:w="4815" w:type="dxa"/>
            <w:vMerge/>
          </w:tcPr>
          <w:p w14:paraId="4E949FDD" w14:textId="77777777" w:rsidR="00312E86" w:rsidRPr="00357E51" w:rsidRDefault="00312E86" w:rsidP="004D2B2A">
            <w:pPr>
              <w:spacing w:before="100" w:after="100" w:line="240" w:lineRule="auto"/>
              <w:rPr>
                <w:sz w:val="22"/>
              </w:rPr>
            </w:pPr>
          </w:p>
        </w:tc>
        <w:tc>
          <w:tcPr>
            <w:tcW w:w="4819" w:type="dxa"/>
          </w:tcPr>
          <w:p w14:paraId="36C5B9A0" w14:textId="77777777" w:rsidR="00312E86" w:rsidRPr="00357E51" w:rsidRDefault="00312E86" w:rsidP="004D2B2A">
            <w:pPr>
              <w:spacing w:before="100" w:after="100" w:line="240" w:lineRule="auto"/>
              <w:rPr>
                <w:sz w:val="22"/>
              </w:rPr>
            </w:pPr>
            <w:r w:rsidRPr="00357E51">
              <w:rPr>
                <w:sz w:val="22"/>
              </w:rPr>
              <w:t>Auditing Arrangements</w:t>
            </w:r>
          </w:p>
        </w:tc>
      </w:tr>
    </w:tbl>
    <w:p w14:paraId="319B60E2" w14:textId="77777777" w:rsidR="002C2DAC" w:rsidRDefault="002C2DAC" w:rsidP="004D2B2A">
      <w:pPr>
        <w:spacing w:before="100" w:after="100" w:line="240" w:lineRule="auto"/>
      </w:pPr>
      <w:r>
        <w:br w:type="page"/>
      </w:r>
    </w:p>
    <w:p w14:paraId="5BA49F2B" w14:textId="77777777" w:rsidR="00312E86" w:rsidRPr="00750A2A" w:rsidRDefault="00312E86" w:rsidP="004D2B2A">
      <w:pPr>
        <w:pStyle w:val="ListParagraph"/>
        <w:numPr>
          <w:ilvl w:val="0"/>
          <w:numId w:val="28"/>
        </w:numPr>
        <w:spacing w:before="100" w:after="100" w:line="240" w:lineRule="auto"/>
        <w:rPr>
          <w:rFonts w:cs="Arial"/>
          <w:b/>
          <w:sz w:val="22"/>
          <w:u w:val="single"/>
          <w:lang w:val="en-GB"/>
        </w:rPr>
      </w:pPr>
      <w:r w:rsidRPr="00750A2A">
        <w:rPr>
          <w:rFonts w:cs="Arial"/>
          <w:b/>
          <w:sz w:val="22"/>
          <w:u w:val="single"/>
          <w:lang w:val="en-GB"/>
        </w:rPr>
        <w:lastRenderedPageBreak/>
        <w:t>Detailed Scope of work</w:t>
      </w:r>
    </w:p>
    <w:p w14:paraId="557B2071" w14:textId="77777777" w:rsidR="00312E86" w:rsidRDefault="00312E86" w:rsidP="004D2B2A">
      <w:pPr>
        <w:spacing w:before="100" w:after="100" w:line="240" w:lineRule="auto"/>
        <w:rPr>
          <w:rFonts w:asciiTheme="minorHAnsi" w:hAnsiTheme="minorHAnsi" w:cstheme="minorHAnsi"/>
          <w:sz w:val="22"/>
          <w:lang w:val="en-GB"/>
        </w:rPr>
      </w:pPr>
      <w:r w:rsidRPr="00B36199">
        <w:rPr>
          <w:rFonts w:asciiTheme="minorHAnsi" w:hAnsiTheme="minorHAnsi" w:cstheme="minorHAnsi"/>
          <w:sz w:val="22"/>
          <w:lang w:val="en-GB"/>
        </w:rPr>
        <w:t>The scope of review will cover the following areas:</w:t>
      </w:r>
    </w:p>
    <w:p w14:paraId="07C180C9" w14:textId="77777777" w:rsidR="00192CF9" w:rsidRDefault="00192CF9" w:rsidP="004D2B2A">
      <w:pPr>
        <w:pStyle w:val="ListParagraph"/>
        <w:numPr>
          <w:ilvl w:val="0"/>
          <w:numId w:val="29"/>
        </w:numPr>
        <w:spacing w:before="100" w:after="100" w:line="240" w:lineRule="auto"/>
        <w:rPr>
          <w:rFonts w:asciiTheme="minorHAnsi" w:hAnsiTheme="minorHAnsi" w:cstheme="minorHAnsi"/>
          <w:sz w:val="22"/>
          <w:lang w:val="en-GB"/>
        </w:rPr>
      </w:pPr>
      <w:r>
        <w:rPr>
          <w:rFonts w:asciiTheme="minorHAnsi" w:hAnsiTheme="minorHAnsi" w:cstheme="minorHAnsi"/>
          <w:sz w:val="22"/>
          <w:lang w:val="en-GB"/>
        </w:rPr>
        <w:t xml:space="preserve">Assess the adequacy of the </w:t>
      </w:r>
      <w:r w:rsidRPr="00CA219F">
        <w:rPr>
          <w:rFonts w:asciiTheme="minorHAnsi" w:hAnsiTheme="minorHAnsi" w:cstheme="minorHAnsi"/>
          <w:sz w:val="22"/>
          <w:lang w:val="en-GB"/>
        </w:rPr>
        <w:t xml:space="preserve">development and implementation </w:t>
      </w:r>
      <w:r w:rsidRPr="004629D4">
        <w:rPr>
          <w:rFonts w:asciiTheme="minorHAnsi" w:hAnsiTheme="minorHAnsi" w:cstheme="minorHAnsi"/>
          <w:sz w:val="22"/>
          <w:lang w:val="en-GB"/>
        </w:rPr>
        <w:t>of policies</w:t>
      </w:r>
      <w:r w:rsidRPr="00CA219F">
        <w:rPr>
          <w:rFonts w:asciiTheme="minorHAnsi" w:hAnsiTheme="minorHAnsi" w:cstheme="minorHAnsi"/>
          <w:sz w:val="22"/>
          <w:lang w:val="en-GB"/>
        </w:rPr>
        <w:t xml:space="preserve"> and procedures for the </w:t>
      </w:r>
      <w:r w:rsidRPr="00ED4B76">
        <w:rPr>
          <w:rFonts w:asciiTheme="minorHAnsi" w:hAnsiTheme="minorHAnsi" w:cstheme="minorHAnsi"/>
          <w:sz w:val="22"/>
          <w:lang w:val="en-GB"/>
        </w:rPr>
        <w:t>recognition,</w:t>
      </w:r>
      <w:r w:rsidRPr="00CA219F">
        <w:rPr>
          <w:rFonts w:asciiTheme="minorHAnsi" w:hAnsiTheme="minorHAnsi" w:cstheme="minorHAnsi"/>
          <w:sz w:val="22"/>
          <w:lang w:val="en-GB"/>
        </w:rPr>
        <w:t xml:space="preserve"> management and disposal of Fixed Assets based on applicable laws and regulations, including the Global Fund Grant Regulations) and donor </w:t>
      </w:r>
      <w:r w:rsidRPr="00ED4B76">
        <w:rPr>
          <w:rFonts w:asciiTheme="minorHAnsi" w:hAnsiTheme="minorHAnsi" w:cstheme="minorHAnsi"/>
          <w:sz w:val="22"/>
          <w:lang w:val="en-GB"/>
        </w:rPr>
        <w:t>requirements</w:t>
      </w:r>
      <w:r>
        <w:rPr>
          <w:rFonts w:asciiTheme="minorHAnsi" w:hAnsiTheme="minorHAnsi" w:cstheme="minorHAnsi"/>
          <w:sz w:val="22"/>
          <w:lang w:val="en-GB"/>
        </w:rPr>
        <w:t xml:space="preserve"> as specified in </w:t>
      </w:r>
      <w:r>
        <w:rPr>
          <w:sz w:val="22"/>
        </w:rPr>
        <w:t>The Global Fund’s guidelines for fixed asset management</w:t>
      </w:r>
      <w:r>
        <w:rPr>
          <w:rFonts w:asciiTheme="minorHAnsi" w:hAnsiTheme="minorHAnsi" w:cstheme="minorHAnsi"/>
          <w:sz w:val="22"/>
          <w:lang w:val="en-GB"/>
        </w:rPr>
        <w:t>.</w:t>
      </w:r>
      <w:r w:rsidRPr="00CA219F">
        <w:rPr>
          <w:rFonts w:asciiTheme="minorHAnsi" w:hAnsiTheme="minorHAnsi" w:cstheme="minorHAnsi"/>
          <w:sz w:val="22"/>
          <w:lang w:val="en-GB"/>
        </w:rPr>
        <w:t xml:space="preserve"> </w:t>
      </w:r>
    </w:p>
    <w:p w14:paraId="19024944" w14:textId="77777777" w:rsidR="00192CF9" w:rsidRDefault="00192CF9" w:rsidP="004D2B2A">
      <w:pPr>
        <w:pStyle w:val="ListParagraph"/>
        <w:spacing w:before="100" w:after="100" w:line="240" w:lineRule="auto"/>
        <w:ind w:left="360"/>
        <w:rPr>
          <w:rFonts w:asciiTheme="minorHAnsi" w:hAnsiTheme="minorHAnsi" w:cstheme="minorHAnsi"/>
          <w:sz w:val="22"/>
          <w:lang w:val="en-GB"/>
        </w:rPr>
      </w:pPr>
    </w:p>
    <w:p w14:paraId="6F987780" w14:textId="1C76EA2C" w:rsidR="00312E86" w:rsidRDefault="00312E86" w:rsidP="004D2B2A">
      <w:pPr>
        <w:pStyle w:val="ListParagraph"/>
        <w:numPr>
          <w:ilvl w:val="0"/>
          <w:numId w:val="29"/>
        </w:numPr>
        <w:spacing w:before="100" w:after="100" w:line="240" w:lineRule="auto"/>
        <w:rPr>
          <w:rFonts w:asciiTheme="minorHAnsi" w:hAnsiTheme="minorHAnsi" w:cstheme="minorHAnsi"/>
          <w:sz w:val="22"/>
          <w:lang w:val="en-GB"/>
        </w:rPr>
      </w:pPr>
      <w:r>
        <w:rPr>
          <w:rFonts w:asciiTheme="minorHAnsi" w:hAnsiTheme="minorHAnsi" w:cstheme="minorHAnsi"/>
          <w:sz w:val="22"/>
          <w:lang w:val="en-GB"/>
        </w:rPr>
        <w:t xml:space="preserve">Assess whether the </w:t>
      </w:r>
      <w:r w:rsidRPr="00CA219F">
        <w:rPr>
          <w:rFonts w:asciiTheme="minorHAnsi" w:hAnsiTheme="minorHAnsi" w:cstheme="minorHAnsi"/>
          <w:sz w:val="22"/>
          <w:lang w:val="en-GB"/>
        </w:rPr>
        <w:t>procurement</w:t>
      </w:r>
      <w:r>
        <w:rPr>
          <w:rFonts w:asciiTheme="minorHAnsi" w:hAnsiTheme="minorHAnsi" w:cstheme="minorHAnsi"/>
          <w:sz w:val="22"/>
          <w:lang w:val="en-GB"/>
        </w:rPr>
        <w:t xml:space="preserve"> of fixed assets </w:t>
      </w:r>
      <w:r w:rsidRPr="00ED4B76">
        <w:rPr>
          <w:rFonts w:asciiTheme="minorHAnsi" w:hAnsiTheme="minorHAnsi" w:cstheme="minorHAnsi"/>
          <w:sz w:val="22"/>
          <w:lang w:val="en-GB"/>
        </w:rPr>
        <w:t>is</w:t>
      </w:r>
      <w:r>
        <w:rPr>
          <w:rFonts w:asciiTheme="minorHAnsi" w:hAnsiTheme="minorHAnsi" w:cstheme="minorHAnsi"/>
          <w:sz w:val="22"/>
          <w:lang w:val="en-GB"/>
        </w:rPr>
        <w:t xml:space="preserve"> </w:t>
      </w:r>
      <w:r w:rsidRPr="00CA219F">
        <w:rPr>
          <w:rFonts w:asciiTheme="minorHAnsi" w:hAnsiTheme="minorHAnsi" w:cstheme="minorHAnsi"/>
          <w:sz w:val="22"/>
          <w:lang w:val="en-GB"/>
        </w:rPr>
        <w:t xml:space="preserve">in line with applicable procurement laws and regulations, terms of the Grant Agreement, including the procurement provisions set out in the Global Fund Grant </w:t>
      </w:r>
      <w:r w:rsidR="00287480" w:rsidRPr="00CA219F">
        <w:rPr>
          <w:rFonts w:asciiTheme="minorHAnsi" w:hAnsiTheme="minorHAnsi" w:cstheme="minorHAnsi"/>
          <w:sz w:val="22"/>
          <w:lang w:val="en-GB"/>
        </w:rPr>
        <w:t>Regulations.</w:t>
      </w:r>
    </w:p>
    <w:p w14:paraId="3D295F77" w14:textId="77777777" w:rsidR="00312E86" w:rsidRPr="00CA219F" w:rsidRDefault="00312E86" w:rsidP="004D2B2A">
      <w:pPr>
        <w:pStyle w:val="ListParagraph"/>
        <w:spacing w:before="100" w:after="100" w:line="240" w:lineRule="auto"/>
        <w:rPr>
          <w:rFonts w:asciiTheme="minorHAnsi" w:hAnsiTheme="minorHAnsi" w:cstheme="minorHAnsi"/>
          <w:sz w:val="22"/>
          <w:lang w:val="en-GB"/>
        </w:rPr>
      </w:pPr>
    </w:p>
    <w:p w14:paraId="774023AE" w14:textId="77777777" w:rsidR="00312E86" w:rsidRDefault="00312E86" w:rsidP="004D2B2A">
      <w:pPr>
        <w:pStyle w:val="ListParagraph"/>
        <w:numPr>
          <w:ilvl w:val="0"/>
          <w:numId w:val="29"/>
        </w:numPr>
        <w:spacing w:before="100" w:after="100" w:line="240" w:lineRule="auto"/>
        <w:rPr>
          <w:rFonts w:asciiTheme="minorHAnsi" w:hAnsiTheme="minorHAnsi" w:cstheme="minorHAnsi"/>
          <w:sz w:val="22"/>
          <w:lang w:val="en-GB"/>
        </w:rPr>
      </w:pPr>
      <w:r>
        <w:rPr>
          <w:rFonts w:asciiTheme="minorHAnsi" w:hAnsiTheme="minorHAnsi" w:cstheme="minorHAnsi"/>
          <w:sz w:val="22"/>
          <w:lang w:val="en-GB"/>
        </w:rPr>
        <w:t xml:space="preserve">Confirm that </w:t>
      </w:r>
      <w:r w:rsidRPr="00CA219F">
        <w:rPr>
          <w:rFonts w:asciiTheme="minorHAnsi" w:hAnsiTheme="minorHAnsi" w:cstheme="minorHAnsi"/>
          <w:sz w:val="22"/>
          <w:lang w:val="en-GB"/>
        </w:rPr>
        <w:t xml:space="preserve">a comprehensive record of all Fixed Assets </w:t>
      </w:r>
      <w:r>
        <w:rPr>
          <w:rFonts w:asciiTheme="minorHAnsi" w:hAnsiTheme="minorHAnsi" w:cstheme="minorHAnsi"/>
          <w:sz w:val="22"/>
          <w:lang w:val="en-GB"/>
        </w:rPr>
        <w:t>exists</w:t>
      </w:r>
      <w:r w:rsidRPr="00FF36B8">
        <w:rPr>
          <w:rFonts w:asciiTheme="minorHAnsi" w:hAnsiTheme="minorHAnsi" w:cstheme="minorHAnsi"/>
          <w:sz w:val="22"/>
          <w:lang w:val="en-GB"/>
        </w:rPr>
        <w:t xml:space="preserve"> (</w:t>
      </w:r>
      <w:r w:rsidRPr="00CA219F">
        <w:rPr>
          <w:rFonts w:asciiTheme="minorHAnsi" w:hAnsiTheme="minorHAnsi" w:cstheme="minorHAnsi"/>
          <w:sz w:val="22"/>
          <w:lang w:val="en-GB"/>
        </w:rPr>
        <w:t>the “fixed asset register” or “FAR’)</w:t>
      </w:r>
      <w:r>
        <w:rPr>
          <w:rFonts w:asciiTheme="minorHAnsi" w:hAnsiTheme="minorHAnsi" w:cstheme="minorHAnsi"/>
          <w:sz w:val="22"/>
          <w:lang w:val="en-GB"/>
        </w:rPr>
        <w:t xml:space="preserve"> </w:t>
      </w:r>
      <w:r w:rsidRPr="00CA219F">
        <w:rPr>
          <w:rFonts w:asciiTheme="minorHAnsi" w:hAnsiTheme="minorHAnsi" w:cstheme="minorHAnsi"/>
          <w:sz w:val="22"/>
          <w:lang w:val="en-GB"/>
        </w:rPr>
        <w:t>which allows for identification of individual assets</w:t>
      </w:r>
      <w:r>
        <w:rPr>
          <w:rFonts w:asciiTheme="minorHAnsi" w:hAnsiTheme="minorHAnsi" w:cstheme="minorHAnsi"/>
          <w:sz w:val="22"/>
          <w:lang w:val="en-GB"/>
        </w:rPr>
        <w:t>.</w:t>
      </w:r>
    </w:p>
    <w:p w14:paraId="72A5C70A" w14:textId="77777777" w:rsidR="00312E86" w:rsidRDefault="00312E86" w:rsidP="004D2B2A">
      <w:pPr>
        <w:pStyle w:val="ListParagraph"/>
        <w:spacing w:before="100" w:after="100" w:line="240" w:lineRule="auto"/>
        <w:ind w:left="360"/>
        <w:rPr>
          <w:rFonts w:asciiTheme="minorHAnsi" w:hAnsiTheme="minorHAnsi" w:cstheme="minorHAnsi"/>
          <w:sz w:val="22"/>
          <w:lang w:val="en-GB"/>
        </w:rPr>
      </w:pPr>
    </w:p>
    <w:p w14:paraId="5CD1BC26" w14:textId="28CC1604" w:rsidR="00312E86" w:rsidRDefault="00312E86" w:rsidP="004D2B2A">
      <w:pPr>
        <w:pStyle w:val="ListParagraph"/>
        <w:numPr>
          <w:ilvl w:val="0"/>
          <w:numId w:val="29"/>
        </w:numPr>
        <w:spacing w:before="100" w:after="100" w:line="240" w:lineRule="auto"/>
        <w:rPr>
          <w:rFonts w:asciiTheme="minorHAnsi" w:hAnsiTheme="minorHAnsi" w:cstheme="minorHAnsi"/>
          <w:sz w:val="22"/>
          <w:lang w:val="en-GB"/>
        </w:rPr>
      </w:pPr>
      <w:r>
        <w:rPr>
          <w:rFonts w:asciiTheme="minorHAnsi" w:hAnsiTheme="minorHAnsi" w:cstheme="minorHAnsi"/>
          <w:sz w:val="22"/>
          <w:lang w:val="en-GB"/>
        </w:rPr>
        <w:t xml:space="preserve">Verify </w:t>
      </w:r>
      <w:r w:rsidRPr="00CA219F">
        <w:rPr>
          <w:rFonts w:asciiTheme="minorHAnsi" w:hAnsiTheme="minorHAnsi" w:cstheme="minorHAnsi"/>
          <w:sz w:val="22"/>
          <w:lang w:val="en-GB"/>
        </w:rPr>
        <w:t xml:space="preserve">appropriate usage and maintenance of Fixed Assets, including ensuring adequate insurance (as required under Section 6.4 of the </w:t>
      </w:r>
      <w:hyperlink r:id="rId14" w:history="1">
        <w:r w:rsidRPr="004E7F24">
          <w:rPr>
            <w:rStyle w:val="Hyperlink"/>
            <w:rFonts w:asciiTheme="minorHAnsi" w:hAnsiTheme="minorHAnsi" w:cstheme="minorHAnsi"/>
            <w:sz w:val="22"/>
            <w:lang w:val="en-GB"/>
          </w:rPr>
          <w:t>Global Fund Grant Regulations</w:t>
        </w:r>
      </w:hyperlink>
      <w:r w:rsidRPr="00CA219F">
        <w:rPr>
          <w:rFonts w:asciiTheme="minorHAnsi" w:hAnsiTheme="minorHAnsi" w:cstheme="minorHAnsi"/>
          <w:sz w:val="22"/>
          <w:lang w:val="en-GB"/>
        </w:rPr>
        <w:t xml:space="preserve"> (2014) and </w:t>
      </w:r>
      <w:hyperlink r:id="rId15" w:history="1">
        <w:r w:rsidRPr="00A95B4D">
          <w:rPr>
            <w:rStyle w:val="Hyperlink"/>
            <w:rFonts w:asciiTheme="minorHAnsi" w:hAnsiTheme="minorHAnsi" w:cstheme="minorHAnsi"/>
            <w:sz w:val="22"/>
            <w:lang w:val="en-GB"/>
          </w:rPr>
          <w:t>Insurance Guidelines for Global Fund grants</w:t>
        </w:r>
      </w:hyperlink>
      <w:r w:rsidRPr="00CA219F">
        <w:rPr>
          <w:rFonts w:asciiTheme="minorHAnsi" w:hAnsiTheme="minorHAnsi" w:cstheme="minorHAnsi"/>
          <w:sz w:val="22"/>
          <w:lang w:val="en-GB"/>
        </w:rPr>
        <w:t>), secure storage prior to deployment, logbooks and regular operational maintenance and repairs, to ensure effective, efficient and economical use of Fixed Assets</w:t>
      </w:r>
      <w:r>
        <w:rPr>
          <w:rFonts w:asciiTheme="minorHAnsi" w:hAnsiTheme="minorHAnsi" w:cstheme="minorHAnsi"/>
          <w:sz w:val="22"/>
          <w:lang w:val="en-GB"/>
        </w:rPr>
        <w:t>.</w:t>
      </w:r>
    </w:p>
    <w:p w14:paraId="752BDED5" w14:textId="77777777" w:rsidR="00312E86" w:rsidRPr="00FF209A" w:rsidRDefault="00312E86" w:rsidP="004D2B2A">
      <w:pPr>
        <w:pStyle w:val="ListParagraph"/>
        <w:spacing w:before="100" w:after="100" w:line="240" w:lineRule="auto"/>
        <w:rPr>
          <w:rFonts w:asciiTheme="minorHAnsi" w:hAnsiTheme="minorHAnsi" w:cstheme="minorHAnsi"/>
          <w:sz w:val="22"/>
          <w:lang w:val="en-GB"/>
        </w:rPr>
      </w:pPr>
    </w:p>
    <w:p w14:paraId="2F109A33" w14:textId="77777777" w:rsidR="00312E86" w:rsidRDefault="00312E86" w:rsidP="004D2B2A">
      <w:pPr>
        <w:pStyle w:val="ListParagraph"/>
        <w:numPr>
          <w:ilvl w:val="0"/>
          <w:numId w:val="29"/>
        </w:numPr>
        <w:spacing w:before="100" w:after="100" w:line="240" w:lineRule="auto"/>
        <w:rPr>
          <w:rFonts w:asciiTheme="minorHAnsi" w:hAnsiTheme="minorHAnsi"/>
          <w:sz w:val="22"/>
          <w:lang w:val="en-GB"/>
        </w:rPr>
      </w:pPr>
      <w:r w:rsidRPr="13223F32">
        <w:rPr>
          <w:rFonts w:asciiTheme="minorHAnsi" w:hAnsiTheme="minorHAnsi"/>
          <w:sz w:val="22"/>
          <w:lang w:val="en-GB"/>
        </w:rPr>
        <w:t>Confirm that the implementer undertak</w:t>
      </w:r>
      <w:r>
        <w:rPr>
          <w:rFonts w:asciiTheme="minorHAnsi" w:hAnsiTheme="minorHAnsi"/>
          <w:sz w:val="22"/>
          <w:lang w:val="en-GB"/>
        </w:rPr>
        <w:t>es</w:t>
      </w:r>
      <w:r w:rsidRPr="13223F32">
        <w:rPr>
          <w:rFonts w:asciiTheme="minorHAnsi" w:hAnsiTheme="minorHAnsi"/>
          <w:sz w:val="22"/>
          <w:lang w:val="en-GB"/>
        </w:rPr>
        <w:t xml:space="preserve"> an inventory</w:t>
      </w:r>
      <w:r>
        <w:rPr>
          <w:rFonts w:asciiTheme="minorHAnsi" w:hAnsiTheme="minorHAnsi"/>
          <w:sz w:val="22"/>
          <w:lang w:val="en-GB"/>
        </w:rPr>
        <w:t xml:space="preserve"> count</w:t>
      </w:r>
      <w:r w:rsidRPr="13223F32">
        <w:rPr>
          <w:rFonts w:asciiTheme="minorHAnsi" w:hAnsiTheme="minorHAnsi"/>
          <w:sz w:val="22"/>
          <w:lang w:val="en-GB"/>
        </w:rPr>
        <w:t xml:space="preserve"> (including a physical verification) of Fixed Assets on a regular basis as per Global Fund guidelines.</w:t>
      </w:r>
    </w:p>
    <w:p w14:paraId="095E2E60" w14:textId="77777777" w:rsidR="00287480" w:rsidRPr="00287480" w:rsidRDefault="00287480" w:rsidP="004D2B2A">
      <w:pPr>
        <w:pStyle w:val="ListParagraph"/>
        <w:spacing w:before="100" w:after="100" w:line="240" w:lineRule="auto"/>
        <w:rPr>
          <w:rFonts w:asciiTheme="minorHAnsi" w:hAnsiTheme="minorHAnsi"/>
          <w:sz w:val="22"/>
          <w:lang w:val="en-GB"/>
        </w:rPr>
      </w:pPr>
    </w:p>
    <w:p w14:paraId="2AF86414" w14:textId="2BF26CC8" w:rsidR="00312E86" w:rsidRDefault="00312E86" w:rsidP="004D2B2A">
      <w:pPr>
        <w:pStyle w:val="ListParagraph"/>
        <w:numPr>
          <w:ilvl w:val="0"/>
          <w:numId w:val="29"/>
        </w:numPr>
        <w:spacing w:before="100" w:after="100" w:line="240" w:lineRule="auto"/>
        <w:rPr>
          <w:rFonts w:asciiTheme="minorHAnsi" w:hAnsiTheme="minorHAnsi"/>
          <w:sz w:val="22"/>
          <w:lang w:val="en-GB"/>
        </w:rPr>
      </w:pPr>
      <w:r w:rsidRPr="13223F32">
        <w:rPr>
          <w:rFonts w:asciiTheme="minorHAnsi" w:hAnsiTheme="minorHAnsi"/>
          <w:sz w:val="22"/>
          <w:lang w:val="en-GB"/>
        </w:rPr>
        <w:t xml:space="preserve"> Verify the Fixed asset additions, disposals and transfers between implementing partners complies with the section 5 of the Global Fund guidelines</w:t>
      </w:r>
      <w:r>
        <w:rPr>
          <w:rFonts w:asciiTheme="minorHAnsi" w:hAnsiTheme="minorHAnsi"/>
          <w:sz w:val="22"/>
          <w:lang w:val="en-GB"/>
        </w:rPr>
        <w:t xml:space="preserve"> as specified in </w:t>
      </w:r>
      <w:hyperlink r:id="rId16" w:history="1">
        <w:r w:rsidRPr="00243835">
          <w:rPr>
            <w:rStyle w:val="Hyperlink"/>
            <w:sz w:val="22"/>
          </w:rPr>
          <w:t>The Global Fund’s guidelines for fixed asset management.</w:t>
        </w:r>
      </w:hyperlink>
    </w:p>
    <w:p w14:paraId="16242D08" w14:textId="77777777" w:rsidR="00312E86" w:rsidRDefault="00312E86" w:rsidP="004D2B2A">
      <w:pPr>
        <w:spacing w:before="100" w:after="100" w:line="240" w:lineRule="auto"/>
        <w:rPr>
          <w:rFonts w:asciiTheme="minorHAnsi" w:hAnsiTheme="minorHAnsi" w:cstheme="minorHAnsi"/>
          <w:b/>
          <w:bCs/>
          <w:sz w:val="22"/>
        </w:rPr>
      </w:pPr>
      <w:r>
        <w:rPr>
          <w:rFonts w:asciiTheme="minorHAnsi" w:hAnsiTheme="minorHAnsi" w:cstheme="minorHAnsi"/>
          <w:b/>
          <w:bCs/>
          <w:sz w:val="22"/>
        </w:rPr>
        <w:br w:type="page"/>
      </w:r>
    </w:p>
    <w:p w14:paraId="04E0569D" w14:textId="77777777" w:rsidR="00312E86" w:rsidRPr="00184F66" w:rsidRDefault="00312E86" w:rsidP="004D2B2A">
      <w:pPr>
        <w:pStyle w:val="ListParagraph"/>
        <w:numPr>
          <w:ilvl w:val="0"/>
          <w:numId w:val="28"/>
        </w:numPr>
        <w:spacing w:before="100" w:after="100" w:line="240" w:lineRule="auto"/>
        <w:rPr>
          <w:rFonts w:cs="Arial"/>
          <w:b/>
          <w:sz w:val="22"/>
          <w:lang w:val="en-GB"/>
        </w:rPr>
      </w:pPr>
      <w:r w:rsidRPr="00184F66">
        <w:rPr>
          <w:rFonts w:cs="Arial"/>
          <w:b/>
          <w:sz w:val="22"/>
          <w:lang w:val="en-GB"/>
        </w:rPr>
        <w:lastRenderedPageBreak/>
        <w:t>Recommended procedures - Detailed approach and methodology.</w:t>
      </w:r>
    </w:p>
    <w:tbl>
      <w:tblPr>
        <w:tblStyle w:val="TableGrid"/>
        <w:tblW w:w="5000" w:type="pct"/>
        <w:tblLook w:val="04A0" w:firstRow="1" w:lastRow="0" w:firstColumn="1" w:lastColumn="0" w:noHBand="0" w:noVBand="1"/>
      </w:tblPr>
      <w:tblGrid>
        <w:gridCol w:w="532"/>
        <w:gridCol w:w="3311"/>
        <w:gridCol w:w="5907"/>
      </w:tblGrid>
      <w:tr w:rsidR="00312E86" w14:paraId="7613E4EC" w14:textId="77777777" w:rsidTr="004D2B2A">
        <w:trPr>
          <w:tblHeader/>
        </w:trPr>
        <w:tc>
          <w:tcPr>
            <w:tcW w:w="5000" w:type="pct"/>
            <w:gridSpan w:val="3"/>
          </w:tcPr>
          <w:p w14:paraId="2D677C2F" w14:textId="77777777" w:rsidR="00312E86" w:rsidRPr="003D0D26" w:rsidRDefault="00312E86" w:rsidP="004D2B2A">
            <w:pPr>
              <w:spacing w:before="100" w:after="100" w:line="240" w:lineRule="auto"/>
              <w:rPr>
                <w:rFonts w:eastAsia="Times New Roman" w:cs="Arial"/>
                <w:b/>
                <w:sz w:val="22"/>
              </w:rPr>
            </w:pPr>
            <w:r w:rsidRPr="003D0D26">
              <w:rPr>
                <w:rFonts w:eastAsia="Times New Roman" w:cs="Arial"/>
                <w:b/>
                <w:sz w:val="22"/>
              </w:rPr>
              <w:t>Test of controls</w:t>
            </w:r>
          </w:p>
        </w:tc>
      </w:tr>
      <w:tr w:rsidR="00312E86" w14:paraId="46D33C59" w14:textId="77777777" w:rsidTr="004D2B2A">
        <w:trPr>
          <w:tblHeader/>
        </w:trPr>
        <w:tc>
          <w:tcPr>
            <w:tcW w:w="273" w:type="pct"/>
          </w:tcPr>
          <w:p w14:paraId="7442275E" w14:textId="77777777" w:rsidR="00312E86" w:rsidRDefault="00312E86" w:rsidP="004D2B2A">
            <w:pPr>
              <w:spacing w:before="100" w:after="100" w:line="240" w:lineRule="auto"/>
              <w:rPr>
                <w:rFonts w:asciiTheme="minorHAnsi" w:hAnsiTheme="minorHAnsi" w:cstheme="minorHAnsi"/>
                <w:b/>
                <w:bCs/>
                <w:sz w:val="22"/>
                <w:lang w:val="en-GB"/>
              </w:rPr>
            </w:pPr>
          </w:p>
        </w:tc>
        <w:tc>
          <w:tcPr>
            <w:tcW w:w="1698" w:type="pct"/>
          </w:tcPr>
          <w:p w14:paraId="28ED483F" w14:textId="77777777" w:rsidR="00312E86" w:rsidRPr="003D0D26" w:rsidRDefault="00312E86" w:rsidP="004D2B2A">
            <w:pPr>
              <w:spacing w:before="100" w:after="100" w:line="240" w:lineRule="auto"/>
              <w:rPr>
                <w:rFonts w:cs="Arial"/>
                <w:b/>
                <w:bCs/>
                <w:sz w:val="22"/>
                <w:lang w:val="en-GB"/>
              </w:rPr>
            </w:pPr>
            <w:r w:rsidRPr="003D0D26">
              <w:rPr>
                <w:rFonts w:eastAsia="Times New Roman" w:cs="Arial"/>
                <w:b/>
                <w:sz w:val="22"/>
              </w:rPr>
              <w:t>Objective</w:t>
            </w:r>
          </w:p>
        </w:tc>
        <w:tc>
          <w:tcPr>
            <w:tcW w:w="3029" w:type="pct"/>
          </w:tcPr>
          <w:p w14:paraId="31F95F8C" w14:textId="77777777" w:rsidR="00312E86" w:rsidRPr="003D0D26" w:rsidRDefault="00312E86" w:rsidP="004D2B2A">
            <w:pPr>
              <w:spacing w:before="100" w:after="100" w:line="240" w:lineRule="auto"/>
              <w:rPr>
                <w:rFonts w:cs="Arial"/>
                <w:b/>
                <w:bCs/>
                <w:sz w:val="22"/>
                <w:lang w:val="en-GB"/>
              </w:rPr>
            </w:pPr>
            <w:r w:rsidRPr="003D0D26">
              <w:rPr>
                <w:rFonts w:eastAsia="Times New Roman" w:cs="Arial"/>
                <w:b/>
                <w:sz w:val="22"/>
              </w:rPr>
              <w:t xml:space="preserve">Recommended procedures </w:t>
            </w:r>
          </w:p>
        </w:tc>
      </w:tr>
      <w:tr w:rsidR="00312E86" w:rsidRPr="00CA219F" w14:paraId="00AC87AB" w14:textId="77777777" w:rsidTr="004D2B2A">
        <w:tc>
          <w:tcPr>
            <w:tcW w:w="273" w:type="pct"/>
          </w:tcPr>
          <w:p w14:paraId="30BF0EE8" w14:textId="77777777" w:rsidR="00312E86" w:rsidRPr="00A06C08" w:rsidRDefault="00312E86" w:rsidP="004D2B2A">
            <w:pPr>
              <w:spacing w:before="100" w:after="100" w:line="240" w:lineRule="auto"/>
              <w:rPr>
                <w:rFonts w:asciiTheme="minorHAnsi" w:hAnsiTheme="minorHAnsi" w:cstheme="minorHAnsi"/>
                <w:sz w:val="22"/>
                <w:lang w:val="en-GB"/>
              </w:rPr>
            </w:pPr>
            <w:r w:rsidRPr="00A06C08">
              <w:rPr>
                <w:rFonts w:asciiTheme="minorHAnsi" w:hAnsiTheme="minorHAnsi" w:cstheme="minorHAnsi"/>
                <w:sz w:val="22"/>
                <w:lang w:val="en-GB"/>
              </w:rPr>
              <w:t>1.</w:t>
            </w:r>
          </w:p>
        </w:tc>
        <w:tc>
          <w:tcPr>
            <w:tcW w:w="1698" w:type="pct"/>
          </w:tcPr>
          <w:p w14:paraId="3B33D535" w14:textId="51787D58" w:rsidR="00E758AF" w:rsidRPr="00CA219F" w:rsidRDefault="00E758AF" w:rsidP="00E758AF">
            <w:pPr>
              <w:spacing w:before="100" w:after="100" w:line="240" w:lineRule="auto"/>
              <w:rPr>
                <w:rFonts w:asciiTheme="minorHAnsi" w:hAnsiTheme="minorHAnsi" w:cstheme="minorHAnsi"/>
                <w:sz w:val="22"/>
                <w:lang w:val="en-GB"/>
              </w:rPr>
            </w:pPr>
            <w:r>
              <w:rPr>
                <w:rFonts w:asciiTheme="minorHAnsi" w:hAnsiTheme="minorHAnsi" w:cstheme="minorHAnsi"/>
                <w:sz w:val="22"/>
                <w:lang w:val="en-GB"/>
              </w:rPr>
              <w:t>Assess whether the</w:t>
            </w:r>
            <w:r w:rsidRPr="00CA219F">
              <w:rPr>
                <w:rFonts w:asciiTheme="minorHAnsi" w:hAnsiTheme="minorHAnsi" w:cstheme="minorHAnsi"/>
                <w:sz w:val="22"/>
                <w:lang w:val="en-GB"/>
              </w:rPr>
              <w:t xml:space="preserve"> </w:t>
            </w:r>
            <w:r w:rsidR="009920F0">
              <w:rPr>
                <w:rFonts w:asciiTheme="minorHAnsi" w:hAnsiTheme="minorHAnsi" w:cstheme="minorHAnsi"/>
                <w:sz w:val="22"/>
                <w:lang w:val="en-GB"/>
              </w:rPr>
              <w:t xml:space="preserve">policies and procedures for </w:t>
            </w:r>
            <w:r w:rsidR="00FE0035">
              <w:rPr>
                <w:rFonts w:asciiTheme="minorHAnsi" w:hAnsiTheme="minorHAnsi" w:cstheme="minorHAnsi"/>
                <w:sz w:val="22"/>
                <w:lang w:val="en-GB"/>
              </w:rPr>
              <w:t>management</w:t>
            </w:r>
            <w:r w:rsidR="00FE0035" w:rsidRPr="00CA219F">
              <w:rPr>
                <w:rFonts w:asciiTheme="minorHAnsi" w:hAnsiTheme="minorHAnsi" w:cstheme="minorHAnsi"/>
                <w:sz w:val="22"/>
                <w:lang w:val="en-GB"/>
              </w:rPr>
              <w:t xml:space="preserve"> </w:t>
            </w:r>
            <w:r w:rsidRPr="00CA219F">
              <w:rPr>
                <w:rFonts w:asciiTheme="minorHAnsi" w:hAnsiTheme="minorHAnsi" w:cstheme="minorHAnsi"/>
                <w:sz w:val="22"/>
                <w:lang w:val="en-GB"/>
              </w:rPr>
              <w:t xml:space="preserve">of fixed assets </w:t>
            </w:r>
            <w:r w:rsidR="009920F0">
              <w:rPr>
                <w:rFonts w:asciiTheme="minorHAnsi" w:hAnsiTheme="minorHAnsi" w:cstheme="minorHAnsi"/>
                <w:sz w:val="22"/>
                <w:lang w:val="en-GB"/>
              </w:rPr>
              <w:t>are</w:t>
            </w:r>
            <w:r w:rsidR="009920F0" w:rsidRPr="00CA219F">
              <w:rPr>
                <w:rFonts w:asciiTheme="minorHAnsi" w:hAnsiTheme="minorHAnsi" w:cstheme="minorHAnsi"/>
                <w:sz w:val="22"/>
                <w:lang w:val="en-GB"/>
              </w:rPr>
              <w:t xml:space="preserve"> </w:t>
            </w:r>
            <w:r w:rsidRPr="00CA219F">
              <w:rPr>
                <w:rFonts w:asciiTheme="minorHAnsi" w:hAnsiTheme="minorHAnsi" w:cstheme="minorHAnsi"/>
                <w:sz w:val="22"/>
                <w:lang w:val="en-GB"/>
              </w:rPr>
              <w:t xml:space="preserve">in line with applicable procurement laws and regulations, including the procurement provisions set out in the </w:t>
            </w:r>
            <w:hyperlink r:id="rId17" w:history="1">
              <w:r w:rsidRPr="00CA5E21">
                <w:rPr>
                  <w:rStyle w:val="Hyperlink"/>
                  <w:rFonts w:asciiTheme="minorHAnsi" w:hAnsiTheme="minorHAnsi" w:cstheme="minorHAnsi"/>
                  <w:sz w:val="22"/>
                  <w:lang w:val="en-GB"/>
                </w:rPr>
                <w:t>Global Fund Grant Regulations</w:t>
              </w:r>
            </w:hyperlink>
            <w:r w:rsidR="00FF6F5D">
              <w:t xml:space="preserve"> </w:t>
            </w:r>
            <w:r w:rsidR="00FF6F5D" w:rsidRPr="00CA219F">
              <w:rPr>
                <w:rFonts w:asciiTheme="minorHAnsi" w:hAnsiTheme="minorHAnsi" w:cstheme="minorHAnsi"/>
                <w:sz w:val="22"/>
                <w:lang w:val="en-GB"/>
              </w:rPr>
              <w:t>and donor requirements</w:t>
            </w:r>
            <w:r w:rsidR="00FF6F5D">
              <w:rPr>
                <w:rFonts w:asciiTheme="minorHAnsi" w:hAnsiTheme="minorHAnsi" w:cstheme="minorHAnsi"/>
                <w:sz w:val="22"/>
                <w:lang w:val="en-GB"/>
              </w:rPr>
              <w:t>,</w:t>
            </w:r>
            <w:r w:rsidR="00FF6F5D" w:rsidRPr="00CA219F">
              <w:rPr>
                <w:rFonts w:asciiTheme="minorHAnsi" w:hAnsiTheme="minorHAnsi" w:cstheme="minorHAnsi"/>
                <w:sz w:val="22"/>
                <w:lang w:val="en-GB"/>
              </w:rPr>
              <w:t xml:space="preserve"> </w:t>
            </w:r>
            <w:r w:rsidR="00FF6F5D">
              <w:rPr>
                <w:rFonts w:asciiTheme="minorHAnsi" w:hAnsiTheme="minorHAnsi" w:cstheme="minorHAnsi"/>
                <w:sz w:val="22"/>
                <w:lang w:val="en-GB"/>
              </w:rPr>
              <w:t xml:space="preserve">as stated in </w:t>
            </w:r>
            <w:hyperlink r:id="rId18" w:history="1">
              <w:r w:rsidR="00FF6F5D" w:rsidRPr="00381CC3">
                <w:rPr>
                  <w:rStyle w:val="Hyperlink"/>
                  <w:rFonts w:asciiTheme="minorHAnsi" w:hAnsiTheme="minorHAnsi" w:cstheme="minorHAnsi"/>
                  <w:sz w:val="22"/>
                  <w:lang w:val="en-GB"/>
                </w:rPr>
                <w:t>the Global Fund’s guidelines for fixed asset management</w:t>
              </w:r>
            </w:hyperlink>
            <w:r w:rsidR="00FF6F5D">
              <w:t>.</w:t>
            </w:r>
          </w:p>
          <w:p w14:paraId="4D8C7016" w14:textId="77777777" w:rsidR="00312E86" w:rsidRDefault="00312E86" w:rsidP="004D2B2A">
            <w:pPr>
              <w:spacing w:before="100" w:after="100" w:line="240" w:lineRule="auto"/>
              <w:rPr>
                <w:rFonts w:asciiTheme="minorHAnsi" w:hAnsiTheme="minorHAnsi" w:cstheme="minorHAnsi"/>
                <w:b/>
                <w:bCs/>
                <w:sz w:val="22"/>
                <w:lang w:val="en-GB"/>
              </w:rPr>
            </w:pPr>
          </w:p>
        </w:tc>
        <w:tc>
          <w:tcPr>
            <w:tcW w:w="3029" w:type="pct"/>
          </w:tcPr>
          <w:p w14:paraId="1FB4DB27" w14:textId="52697AE3" w:rsidR="00312E86" w:rsidRDefault="00312E86" w:rsidP="004D2B2A">
            <w:pPr>
              <w:pStyle w:val="ListParagraph"/>
              <w:numPr>
                <w:ilvl w:val="0"/>
                <w:numId w:val="35"/>
              </w:numPr>
              <w:spacing w:before="100" w:after="100" w:line="240" w:lineRule="auto"/>
              <w:ind w:left="360"/>
              <w:rPr>
                <w:rFonts w:asciiTheme="minorHAnsi" w:hAnsiTheme="minorHAnsi" w:cstheme="minorHAnsi"/>
                <w:sz w:val="22"/>
                <w:lang w:val="en-GB"/>
              </w:rPr>
            </w:pPr>
            <w:r w:rsidRPr="00CA219F">
              <w:rPr>
                <w:rFonts w:asciiTheme="minorHAnsi" w:hAnsiTheme="minorHAnsi" w:cstheme="minorHAnsi"/>
                <w:sz w:val="22"/>
                <w:lang w:val="en-GB"/>
              </w:rPr>
              <w:t>Obtain and review the implementer’s policy</w:t>
            </w:r>
            <w:r w:rsidR="00D944D9">
              <w:rPr>
                <w:rFonts w:asciiTheme="minorHAnsi" w:hAnsiTheme="minorHAnsi" w:cstheme="minorHAnsi"/>
                <w:sz w:val="22"/>
                <w:lang w:val="en-GB"/>
              </w:rPr>
              <w:t xml:space="preserve"> and procedures</w:t>
            </w:r>
            <w:r w:rsidRPr="00CA219F">
              <w:rPr>
                <w:rFonts w:asciiTheme="minorHAnsi" w:hAnsiTheme="minorHAnsi" w:cstheme="minorHAnsi"/>
                <w:sz w:val="22"/>
                <w:lang w:val="en-GB"/>
              </w:rPr>
              <w:t xml:space="preserve"> on procurement of fixed assets for compliance to applicable laws and </w:t>
            </w:r>
            <w:r w:rsidRPr="00025A82">
              <w:rPr>
                <w:rFonts w:asciiTheme="minorHAnsi" w:hAnsiTheme="minorHAnsi" w:cstheme="minorHAnsi"/>
                <w:sz w:val="22"/>
                <w:lang w:val="en-GB"/>
              </w:rPr>
              <w:t>regulations,</w:t>
            </w:r>
            <w:r w:rsidRPr="00CA219F">
              <w:rPr>
                <w:rFonts w:asciiTheme="minorHAnsi" w:hAnsiTheme="minorHAnsi" w:cstheme="minorHAnsi"/>
                <w:sz w:val="22"/>
                <w:lang w:val="en-GB"/>
              </w:rPr>
              <w:t xml:space="preserve"> and the provisions in the</w:t>
            </w:r>
            <w:r w:rsidR="00957B41">
              <w:rPr>
                <w:rFonts w:asciiTheme="minorHAnsi" w:hAnsiTheme="minorHAnsi" w:cstheme="minorHAnsi"/>
                <w:sz w:val="22"/>
                <w:lang w:val="en-GB"/>
              </w:rPr>
              <w:t xml:space="preserve"> app</w:t>
            </w:r>
            <w:r w:rsidR="00FF1F3A">
              <w:rPr>
                <w:rFonts w:asciiTheme="minorHAnsi" w:hAnsiTheme="minorHAnsi" w:cstheme="minorHAnsi"/>
                <w:sz w:val="22"/>
                <w:lang w:val="en-GB"/>
              </w:rPr>
              <w:t xml:space="preserve">licable Global Fund guidelines. </w:t>
            </w:r>
          </w:p>
          <w:p w14:paraId="3B8F7A28" w14:textId="6053D9DA" w:rsidR="000C3131" w:rsidRDefault="000C3131" w:rsidP="004D2B2A">
            <w:pPr>
              <w:pStyle w:val="ListParagraph"/>
              <w:numPr>
                <w:ilvl w:val="0"/>
                <w:numId w:val="35"/>
              </w:numPr>
              <w:spacing w:before="100" w:after="100" w:line="240" w:lineRule="auto"/>
              <w:ind w:left="360"/>
              <w:rPr>
                <w:rFonts w:asciiTheme="minorHAnsi" w:hAnsiTheme="minorHAnsi" w:cstheme="minorHAnsi"/>
                <w:sz w:val="22"/>
                <w:lang w:val="en-GB"/>
              </w:rPr>
            </w:pPr>
            <w:r>
              <w:rPr>
                <w:rFonts w:asciiTheme="minorHAnsi" w:hAnsiTheme="minorHAnsi" w:cstheme="minorHAnsi"/>
                <w:sz w:val="22"/>
                <w:lang w:val="en-GB"/>
              </w:rPr>
              <w:t>Check that all parts of the fixed assets management are covered by the implementer’s policy and procedures.</w:t>
            </w:r>
          </w:p>
          <w:p w14:paraId="1D7DDDA3" w14:textId="54460DEF" w:rsidR="00312E86" w:rsidRPr="00CA219F" w:rsidRDefault="00312E86" w:rsidP="009149F6">
            <w:pPr>
              <w:pStyle w:val="ListParagraph"/>
              <w:spacing w:before="100" w:after="100" w:line="240" w:lineRule="auto"/>
              <w:ind w:left="360"/>
              <w:rPr>
                <w:rFonts w:asciiTheme="minorHAnsi" w:hAnsiTheme="minorHAnsi" w:cstheme="minorHAnsi"/>
                <w:sz w:val="22"/>
                <w:lang w:val="en-GB"/>
              </w:rPr>
            </w:pPr>
          </w:p>
        </w:tc>
      </w:tr>
      <w:tr w:rsidR="00312E86" w:rsidRPr="00CA219F" w14:paraId="7B275E80" w14:textId="77777777" w:rsidTr="004D2B2A">
        <w:tc>
          <w:tcPr>
            <w:tcW w:w="273" w:type="pct"/>
          </w:tcPr>
          <w:p w14:paraId="75DD493D" w14:textId="77777777" w:rsidR="00312E86" w:rsidRPr="00A06C08" w:rsidRDefault="00312E86" w:rsidP="004D2B2A">
            <w:pPr>
              <w:spacing w:before="100" w:after="100" w:line="240" w:lineRule="auto"/>
              <w:rPr>
                <w:rFonts w:asciiTheme="minorHAnsi" w:hAnsiTheme="minorHAnsi" w:cstheme="minorHAnsi"/>
                <w:sz w:val="22"/>
                <w:lang w:val="en-GB"/>
              </w:rPr>
            </w:pPr>
            <w:r w:rsidRPr="00A06C08">
              <w:rPr>
                <w:rFonts w:asciiTheme="minorHAnsi" w:hAnsiTheme="minorHAnsi" w:cstheme="minorHAnsi"/>
                <w:sz w:val="22"/>
                <w:lang w:val="en-GB"/>
              </w:rPr>
              <w:t>2.</w:t>
            </w:r>
          </w:p>
        </w:tc>
        <w:tc>
          <w:tcPr>
            <w:tcW w:w="1698" w:type="pct"/>
          </w:tcPr>
          <w:p w14:paraId="7055A11E" w14:textId="43860A14" w:rsidR="00E758AF" w:rsidRPr="00CA219F" w:rsidRDefault="00E758AF" w:rsidP="00E758AF">
            <w:pPr>
              <w:spacing w:before="100" w:after="100" w:line="240" w:lineRule="auto"/>
              <w:rPr>
                <w:rFonts w:asciiTheme="minorHAnsi" w:hAnsiTheme="minorHAnsi" w:cstheme="minorHAnsi"/>
                <w:sz w:val="22"/>
                <w:lang w:val="en-GB"/>
              </w:rPr>
            </w:pPr>
            <w:r w:rsidRPr="00CA219F">
              <w:rPr>
                <w:rFonts w:asciiTheme="minorHAnsi" w:hAnsiTheme="minorHAnsi" w:cstheme="minorHAnsi"/>
                <w:sz w:val="22"/>
                <w:lang w:val="en-GB"/>
              </w:rPr>
              <w:t xml:space="preserve">Assess the implementation of policies and procedures for the </w:t>
            </w:r>
            <w:r w:rsidR="00FE0035">
              <w:rPr>
                <w:rFonts w:asciiTheme="minorHAnsi" w:hAnsiTheme="minorHAnsi" w:cstheme="minorHAnsi"/>
                <w:sz w:val="22"/>
                <w:lang w:val="en-GB"/>
              </w:rPr>
              <w:t>management of fixed assets</w:t>
            </w:r>
            <w:r w:rsidR="00B22944">
              <w:rPr>
                <w:rFonts w:asciiTheme="minorHAnsi" w:hAnsiTheme="minorHAnsi" w:cstheme="minorHAnsi"/>
                <w:sz w:val="22"/>
                <w:lang w:val="en-GB"/>
              </w:rPr>
              <w:t xml:space="preserve">. </w:t>
            </w:r>
          </w:p>
          <w:p w14:paraId="1C3DF0C8" w14:textId="77777777" w:rsidR="00312E86" w:rsidRDefault="00312E86" w:rsidP="00E758AF">
            <w:pPr>
              <w:spacing w:before="100" w:after="100" w:line="240" w:lineRule="auto"/>
              <w:rPr>
                <w:rFonts w:asciiTheme="minorHAnsi" w:hAnsiTheme="minorHAnsi" w:cstheme="minorHAnsi"/>
                <w:b/>
                <w:bCs/>
                <w:sz w:val="22"/>
                <w:lang w:val="en-GB"/>
              </w:rPr>
            </w:pPr>
          </w:p>
        </w:tc>
        <w:tc>
          <w:tcPr>
            <w:tcW w:w="3029" w:type="pct"/>
          </w:tcPr>
          <w:p w14:paraId="4018E9B7" w14:textId="15D0C5E1" w:rsidR="00CB719F" w:rsidRDefault="00CB719F" w:rsidP="00CB719F">
            <w:pPr>
              <w:pStyle w:val="ListParagraph"/>
              <w:numPr>
                <w:ilvl w:val="0"/>
                <w:numId w:val="37"/>
              </w:numPr>
              <w:spacing w:before="100" w:after="100" w:line="240" w:lineRule="auto"/>
              <w:rPr>
                <w:sz w:val="22"/>
              </w:rPr>
            </w:pPr>
            <w:r w:rsidRPr="004E096D">
              <w:rPr>
                <w:rFonts w:asciiTheme="minorHAnsi" w:hAnsiTheme="minorHAnsi"/>
                <w:sz w:val="22"/>
                <w:lang w:val="en-GB"/>
              </w:rPr>
              <w:t>For a sample of fixed assets from the register, review the procurement process from internal approvals, tender and quotes solicitation, evaluation, and contract award alignment with the implementer’s policy</w:t>
            </w:r>
            <w:r w:rsidR="008F0869">
              <w:rPr>
                <w:rFonts w:asciiTheme="minorHAnsi" w:hAnsiTheme="minorHAnsi"/>
                <w:sz w:val="22"/>
                <w:lang w:val="en-GB"/>
              </w:rPr>
              <w:t xml:space="preserve">, including </w:t>
            </w:r>
            <w:r w:rsidR="008F0869" w:rsidRPr="67BD70FC">
              <w:rPr>
                <w:rFonts w:asciiTheme="minorHAnsi" w:hAnsiTheme="minorHAnsi"/>
                <w:sz w:val="22"/>
                <w:lang w:val="en-GB"/>
              </w:rPr>
              <w:t>implementer’s authority limits</w:t>
            </w:r>
            <w:r w:rsidRPr="004E096D">
              <w:rPr>
                <w:rFonts w:asciiTheme="minorHAnsi" w:hAnsiTheme="minorHAnsi"/>
                <w:sz w:val="22"/>
                <w:lang w:val="en-GB"/>
              </w:rPr>
              <w:t>.</w:t>
            </w:r>
            <w:r w:rsidR="003A1311">
              <w:rPr>
                <w:rFonts w:asciiTheme="minorHAnsi" w:hAnsiTheme="minorHAnsi"/>
                <w:sz w:val="22"/>
                <w:lang w:val="en-GB"/>
              </w:rPr>
              <w:t xml:space="preserve"> Also trace back to budget.</w:t>
            </w:r>
          </w:p>
          <w:p w14:paraId="0F4ADEC2" w14:textId="127C280B" w:rsidR="00312E86" w:rsidRDefault="00312E86" w:rsidP="00CB719F">
            <w:pPr>
              <w:pStyle w:val="ListParagraph"/>
              <w:numPr>
                <w:ilvl w:val="0"/>
                <w:numId w:val="37"/>
              </w:numPr>
              <w:spacing w:before="100" w:after="100" w:line="240" w:lineRule="auto"/>
              <w:rPr>
                <w:sz w:val="22"/>
              </w:rPr>
            </w:pPr>
            <w:r w:rsidRPr="00B67AE1">
              <w:rPr>
                <w:sz w:val="22"/>
              </w:rPr>
              <w:t>For assets purchased within the curre</w:t>
            </w:r>
            <w:r>
              <w:rPr>
                <w:sz w:val="22"/>
              </w:rPr>
              <w:t>nt</w:t>
            </w:r>
            <w:r w:rsidRPr="00B67AE1">
              <w:rPr>
                <w:sz w:val="22"/>
              </w:rPr>
              <w:t xml:space="preserve"> period</w:t>
            </w:r>
            <w:r>
              <w:rPr>
                <w:sz w:val="22"/>
              </w:rPr>
              <w:t xml:space="preserve"> under review</w:t>
            </w:r>
            <w:r w:rsidRPr="00B67AE1">
              <w:rPr>
                <w:sz w:val="22"/>
              </w:rPr>
              <w:t xml:space="preserve">, </w:t>
            </w:r>
            <w:r w:rsidR="009E7A49" w:rsidRPr="00B67AE1">
              <w:rPr>
                <w:sz w:val="22"/>
              </w:rPr>
              <w:t>reconcile assets</w:t>
            </w:r>
            <w:r w:rsidRPr="00B67AE1">
              <w:rPr>
                <w:sz w:val="22"/>
              </w:rPr>
              <w:t xml:space="preserve"> as per the assets listing to the General Ledger.</w:t>
            </w:r>
          </w:p>
          <w:p w14:paraId="4650717F" w14:textId="287711AE" w:rsidR="00312E86" w:rsidRDefault="00312E86" w:rsidP="00CB719F">
            <w:pPr>
              <w:pStyle w:val="ListParagraph"/>
              <w:numPr>
                <w:ilvl w:val="0"/>
                <w:numId w:val="37"/>
              </w:numPr>
              <w:spacing w:before="100" w:after="100" w:line="240" w:lineRule="auto"/>
              <w:rPr>
                <w:sz w:val="22"/>
              </w:rPr>
            </w:pPr>
            <w:r w:rsidRPr="004A0FED">
              <w:rPr>
                <w:sz w:val="22"/>
              </w:rPr>
              <w:t>Review</w:t>
            </w:r>
            <w:r>
              <w:rPr>
                <w:sz w:val="22"/>
              </w:rPr>
              <w:t xml:space="preserve"> </w:t>
            </w:r>
            <w:proofErr w:type="gramStart"/>
            <w:r w:rsidRPr="004A0FED">
              <w:rPr>
                <w:sz w:val="22"/>
              </w:rPr>
              <w:t>PR</w:t>
            </w:r>
            <w:proofErr w:type="gramEnd"/>
            <w:r w:rsidRPr="004A0FED">
              <w:rPr>
                <w:sz w:val="22"/>
              </w:rPr>
              <w:t xml:space="preserve"> book of accounts to ensure assets are recorded at cost and </w:t>
            </w:r>
            <w:r w:rsidR="00560578">
              <w:rPr>
                <w:sz w:val="22"/>
              </w:rPr>
              <w:t xml:space="preserve">that </w:t>
            </w:r>
            <w:r w:rsidRPr="004A0FED">
              <w:rPr>
                <w:sz w:val="22"/>
              </w:rPr>
              <w:t xml:space="preserve">depreciation is not </w:t>
            </w:r>
            <w:proofErr w:type="gramStart"/>
            <w:r w:rsidRPr="004A0FED">
              <w:rPr>
                <w:sz w:val="22"/>
              </w:rPr>
              <w:t>expensed</w:t>
            </w:r>
            <w:proofErr w:type="gramEnd"/>
            <w:r w:rsidRPr="004A0FED">
              <w:rPr>
                <w:sz w:val="22"/>
              </w:rPr>
              <w:t xml:space="preserve"> to the grant.</w:t>
            </w:r>
          </w:p>
          <w:p w14:paraId="171EF7BF" w14:textId="77777777" w:rsidR="00312E86" w:rsidRPr="009E6875" w:rsidRDefault="00312E86" w:rsidP="00CB719F">
            <w:pPr>
              <w:pStyle w:val="ListParagraph"/>
              <w:numPr>
                <w:ilvl w:val="0"/>
                <w:numId w:val="37"/>
              </w:numPr>
              <w:spacing w:before="100" w:after="100" w:line="240" w:lineRule="auto"/>
              <w:rPr>
                <w:sz w:val="22"/>
              </w:rPr>
            </w:pPr>
            <w:r w:rsidRPr="009E6875">
              <w:rPr>
                <w:sz w:val="22"/>
              </w:rPr>
              <w:t>Review and confirm that consumables and inventory such as LLINs, syringes, condoms are not included in the asset register.</w:t>
            </w:r>
          </w:p>
          <w:p w14:paraId="1A130F5D" w14:textId="77777777" w:rsidR="00312E86" w:rsidRDefault="00312E86" w:rsidP="00CB719F">
            <w:pPr>
              <w:pStyle w:val="ListParagraph"/>
              <w:numPr>
                <w:ilvl w:val="0"/>
                <w:numId w:val="37"/>
              </w:numPr>
              <w:spacing w:before="100" w:after="100" w:line="240" w:lineRule="auto"/>
              <w:rPr>
                <w:sz w:val="22"/>
              </w:rPr>
            </w:pPr>
            <w:r w:rsidRPr="001B699B">
              <w:rPr>
                <w:sz w:val="22"/>
              </w:rPr>
              <w:t xml:space="preserve">Review the details of any disposed or written-off assets procured through the grant, if any, to the relevant supporting documents </w:t>
            </w:r>
          </w:p>
          <w:p w14:paraId="6841265E" w14:textId="77777777" w:rsidR="00312E86" w:rsidRDefault="00312E86" w:rsidP="00CB719F">
            <w:pPr>
              <w:pStyle w:val="ListParagraph"/>
              <w:numPr>
                <w:ilvl w:val="0"/>
                <w:numId w:val="37"/>
              </w:numPr>
              <w:spacing w:before="100" w:after="100" w:line="240" w:lineRule="auto"/>
              <w:rPr>
                <w:sz w:val="22"/>
              </w:rPr>
            </w:pPr>
            <w:r>
              <w:rPr>
                <w:sz w:val="22"/>
              </w:rPr>
              <w:t>Obtain and review logs of items reported as lost or stolen. Ascertain whether the circumstances and details are documented as per the implementer’s policy.</w:t>
            </w:r>
          </w:p>
          <w:p w14:paraId="2669DE35" w14:textId="77777777" w:rsidR="00312E86" w:rsidRDefault="00312E86" w:rsidP="00CB719F">
            <w:pPr>
              <w:pStyle w:val="ListParagraph"/>
              <w:numPr>
                <w:ilvl w:val="0"/>
                <w:numId w:val="37"/>
              </w:numPr>
              <w:spacing w:before="100" w:after="100" w:line="240" w:lineRule="auto"/>
              <w:rPr>
                <w:sz w:val="22"/>
              </w:rPr>
            </w:pPr>
            <w:r w:rsidRPr="00CA219F">
              <w:rPr>
                <w:sz w:val="22"/>
              </w:rPr>
              <w:t xml:space="preserve">Review </w:t>
            </w:r>
            <w:r>
              <w:rPr>
                <w:sz w:val="22"/>
              </w:rPr>
              <w:t>log of damaged or written off assets, ensuring adherence to policy.</w:t>
            </w:r>
          </w:p>
          <w:p w14:paraId="467E6CF9" w14:textId="77777777" w:rsidR="00312E86" w:rsidRPr="00CA219F" w:rsidRDefault="00312E86" w:rsidP="004D2B2A">
            <w:pPr>
              <w:pStyle w:val="ListParagraph"/>
              <w:spacing w:before="100" w:after="100" w:line="240" w:lineRule="auto"/>
              <w:rPr>
                <w:sz w:val="22"/>
              </w:rPr>
            </w:pPr>
          </w:p>
        </w:tc>
      </w:tr>
      <w:tr w:rsidR="00312E86" w14:paraId="44366FEE" w14:textId="77777777" w:rsidTr="004D2B2A">
        <w:tc>
          <w:tcPr>
            <w:tcW w:w="273" w:type="pct"/>
          </w:tcPr>
          <w:p w14:paraId="306150BB" w14:textId="77777777" w:rsidR="00312E86" w:rsidRPr="00CA219F" w:rsidRDefault="00312E86" w:rsidP="004D2B2A">
            <w:pPr>
              <w:spacing w:before="100" w:after="100" w:line="240" w:lineRule="auto"/>
              <w:rPr>
                <w:rFonts w:asciiTheme="minorHAnsi" w:hAnsiTheme="minorHAnsi" w:cstheme="minorHAnsi"/>
                <w:sz w:val="22"/>
                <w:lang w:val="en-GB"/>
              </w:rPr>
            </w:pPr>
            <w:r w:rsidRPr="00CA219F">
              <w:rPr>
                <w:rFonts w:asciiTheme="minorHAnsi" w:hAnsiTheme="minorHAnsi" w:cstheme="minorHAnsi"/>
                <w:sz w:val="22"/>
                <w:lang w:val="en-GB"/>
              </w:rPr>
              <w:t>3</w:t>
            </w:r>
            <w:r>
              <w:rPr>
                <w:rFonts w:asciiTheme="minorHAnsi" w:hAnsiTheme="minorHAnsi" w:cstheme="minorHAnsi"/>
                <w:sz w:val="22"/>
                <w:lang w:val="en-GB"/>
              </w:rPr>
              <w:t>,</w:t>
            </w:r>
          </w:p>
        </w:tc>
        <w:tc>
          <w:tcPr>
            <w:tcW w:w="1698" w:type="pct"/>
          </w:tcPr>
          <w:p w14:paraId="2062F612" w14:textId="77777777" w:rsidR="00312E86" w:rsidRPr="00CA219F" w:rsidRDefault="00312E86" w:rsidP="004D2B2A">
            <w:pPr>
              <w:spacing w:before="100" w:after="100" w:line="240" w:lineRule="auto"/>
              <w:rPr>
                <w:rFonts w:asciiTheme="minorHAnsi" w:hAnsiTheme="minorHAnsi" w:cstheme="minorHAnsi"/>
                <w:sz w:val="22"/>
                <w:lang w:val="en-GB"/>
              </w:rPr>
            </w:pPr>
            <w:r w:rsidRPr="00CA219F">
              <w:rPr>
                <w:rFonts w:asciiTheme="minorHAnsi" w:hAnsiTheme="minorHAnsi" w:cstheme="minorHAnsi"/>
                <w:sz w:val="22"/>
                <w:lang w:val="en-GB"/>
              </w:rPr>
              <w:t>Confirm that a comprehensive record of all Fixed Assets exists (the “fixed asset register” or “FAR’) which allows for identification of individual assets.</w:t>
            </w:r>
          </w:p>
          <w:p w14:paraId="0F86C5BE" w14:textId="77777777" w:rsidR="00312E86" w:rsidRDefault="00312E86" w:rsidP="004D2B2A">
            <w:pPr>
              <w:spacing w:before="100" w:after="100" w:line="240" w:lineRule="auto"/>
              <w:rPr>
                <w:rFonts w:asciiTheme="minorHAnsi" w:hAnsiTheme="minorHAnsi" w:cstheme="minorHAnsi"/>
                <w:b/>
                <w:bCs/>
                <w:sz w:val="22"/>
                <w:lang w:val="en-GB"/>
              </w:rPr>
            </w:pPr>
          </w:p>
        </w:tc>
        <w:tc>
          <w:tcPr>
            <w:tcW w:w="3029" w:type="pct"/>
          </w:tcPr>
          <w:p w14:paraId="405CBC27" w14:textId="575FA759" w:rsidR="00312E86" w:rsidRDefault="00312E86" w:rsidP="004D2B2A">
            <w:pPr>
              <w:pStyle w:val="ListParagraph"/>
              <w:numPr>
                <w:ilvl w:val="0"/>
                <w:numId w:val="36"/>
              </w:numPr>
              <w:spacing w:before="100" w:after="100" w:line="240" w:lineRule="auto"/>
              <w:rPr>
                <w:sz w:val="22"/>
              </w:rPr>
            </w:pPr>
            <w:r w:rsidRPr="00CA219F">
              <w:rPr>
                <w:sz w:val="22"/>
              </w:rPr>
              <w:t xml:space="preserve">Obtain the fixed assets register and review for completeness and compliance </w:t>
            </w:r>
            <w:r w:rsidR="009E7A49" w:rsidRPr="00CA219F">
              <w:rPr>
                <w:sz w:val="22"/>
              </w:rPr>
              <w:t>with</w:t>
            </w:r>
            <w:r>
              <w:rPr>
                <w:sz w:val="22"/>
              </w:rPr>
              <w:t xml:space="preserve"> </w:t>
            </w:r>
            <w:r>
              <w:rPr>
                <w:rFonts w:asciiTheme="minorHAnsi" w:hAnsiTheme="minorHAnsi" w:cstheme="minorHAnsi"/>
                <w:sz w:val="22"/>
                <w:lang w:val="en-GB"/>
              </w:rPr>
              <w:t>the Global Fund’s guidelines for fixed asset management</w:t>
            </w:r>
            <w:r w:rsidRPr="00506C6E">
              <w:rPr>
                <w:sz w:val="22"/>
              </w:rPr>
              <w:t>.</w:t>
            </w:r>
          </w:p>
          <w:p w14:paraId="40AAEB80" w14:textId="77777777" w:rsidR="00312E86" w:rsidRDefault="00312E86" w:rsidP="004D2B2A">
            <w:pPr>
              <w:pStyle w:val="ListParagraph"/>
              <w:numPr>
                <w:ilvl w:val="0"/>
                <w:numId w:val="36"/>
              </w:numPr>
              <w:spacing w:before="100" w:after="100" w:line="240" w:lineRule="auto"/>
              <w:rPr>
                <w:sz w:val="22"/>
              </w:rPr>
            </w:pPr>
            <w:r w:rsidRPr="00CA219F">
              <w:rPr>
                <w:sz w:val="22"/>
              </w:rPr>
              <w:t>Confirm a value is assigned to each fixed asset reported in the FAR.</w:t>
            </w:r>
          </w:p>
          <w:p w14:paraId="78196457" w14:textId="65B9976C" w:rsidR="00312E86" w:rsidRDefault="00312E86" w:rsidP="004D2B2A">
            <w:pPr>
              <w:pStyle w:val="ListParagraph"/>
              <w:numPr>
                <w:ilvl w:val="0"/>
                <w:numId w:val="36"/>
              </w:numPr>
              <w:spacing w:before="100" w:after="100" w:line="240" w:lineRule="auto"/>
              <w:rPr>
                <w:sz w:val="22"/>
              </w:rPr>
            </w:pPr>
            <w:r w:rsidRPr="00CA219F">
              <w:rPr>
                <w:sz w:val="22"/>
              </w:rPr>
              <w:t xml:space="preserve">For a sample of fixed </w:t>
            </w:r>
            <w:r w:rsidR="009E7A49" w:rsidRPr="00CA219F">
              <w:rPr>
                <w:sz w:val="22"/>
              </w:rPr>
              <w:t>assets</w:t>
            </w:r>
            <w:r w:rsidRPr="00CA219F">
              <w:rPr>
                <w:sz w:val="22"/>
              </w:rPr>
              <w:t xml:space="preserve"> in the FAR, trace the recorded value to the original purchase support document to confirm accuracy of recorded amount.</w:t>
            </w:r>
          </w:p>
          <w:p w14:paraId="74FA5FB4" w14:textId="51182927" w:rsidR="00312E86" w:rsidRPr="00CA219F" w:rsidRDefault="00312E86" w:rsidP="004D2B2A">
            <w:pPr>
              <w:pStyle w:val="ListParagraph"/>
              <w:numPr>
                <w:ilvl w:val="0"/>
                <w:numId w:val="36"/>
              </w:numPr>
              <w:spacing w:before="100" w:after="100" w:line="240" w:lineRule="auto"/>
              <w:rPr>
                <w:rFonts w:asciiTheme="minorHAnsi" w:hAnsiTheme="minorHAnsi" w:cstheme="minorHAnsi"/>
                <w:b/>
                <w:bCs/>
                <w:sz w:val="22"/>
              </w:rPr>
            </w:pPr>
            <w:r w:rsidRPr="00CA219F">
              <w:rPr>
                <w:sz w:val="22"/>
              </w:rPr>
              <w:lastRenderedPageBreak/>
              <w:t>On a sample basis, pick individual asset tag numbers and location from the register and inspect the physical asset to confirm correctness of labelling and location details included in the register.</w:t>
            </w:r>
          </w:p>
        </w:tc>
      </w:tr>
      <w:tr w:rsidR="00312E86" w14:paraId="7F96FD70" w14:textId="77777777" w:rsidTr="004D2B2A">
        <w:tc>
          <w:tcPr>
            <w:tcW w:w="273" w:type="pct"/>
          </w:tcPr>
          <w:p w14:paraId="7770E648" w14:textId="77777777" w:rsidR="00312E86" w:rsidRPr="00CA219F" w:rsidRDefault="00312E86" w:rsidP="004D2B2A">
            <w:pPr>
              <w:spacing w:before="100" w:after="100" w:line="240" w:lineRule="auto"/>
              <w:rPr>
                <w:rFonts w:asciiTheme="minorHAnsi" w:hAnsiTheme="minorHAnsi" w:cstheme="minorHAnsi"/>
                <w:sz w:val="22"/>
                <w:lang w:val="en-GB"/>
              </w:rPr>
            </w:pPr>
            <w:r w:rsidRPr="00CA219F">
              <w:rPr>
                <w:rFonts w:asciiTheme="minorHAnsi" w:hAnsiTheme="minorHAnsi" w:cstheme="minorHAnsi"/>
                <w:sz w:val="22"/>
                <w:lang w:val="en-GB"/>
              </w:rPr>
              <w:lastRenderedPageBreak/>
              <w:t>4.</w:t>
            </w:r>
          </w:p>
        </w:tc>
        <w:tc>
          <w:tcPr>
            <w:tcW w:w="1698" w:type="pct"/>
          </w:tcPr>
          <w:p w14:paraId="413F5CC8" w14:textId="5270E4F5" w:rsidR="00312E86" w:rsidRPr="00CA219F" w:rsidRDefault="00312E86" w:rsidP="004D2B2A">
            <w:pPr>
              <w:spacing w:before="100" w:after="100" w:line="240" w:lineRule="auto"/>
              <w:rPr>
                <w:rFonts w:asciiTheme="minorHAnsi" w:hAnsiTheme="minorHAnsi"/>
                <w:sz w:val="22"/>
                <w:lang w:val="en-GB"/>
              </w:rPr>
            </w:pPr>
            <w:r w:rsidRPr="13223F32">
              <w:rPr>
                <w:rFonts w:asciiTheme="minorHAnsi" w:hAnsiTheme="minorHAnsi"/>
                <w:sz w:val="22"/>
                <w:lang w:val="en-GB"/>
              </w:rPr>
              <w:t xml:space="preserve">Verify appropriate usage and maintenance of Fixed Assets, including ensuring adequate insurance (as required under Section 6.4 of </w:t>
            </w:r>
            <w:hyperlink r:id="rId19" w:history="1">
              <w:r w:rsidRPr="00AE00F1">
                <w:rPr>
                  <w:rStyle w:val="Hyperlink"/>
                  <w:rFonts w:asciiTheme="minorHAnsi" w:hAnsiTheme="minorHAnsi"/>
                  <w:sz w:val="22"/>
                  <w:lang w:val="en-GB"/>
                </w:rPr>
                <w:t xml:space="preserve">the Global Fund Grant </w:t>
              </w:r>
              <w:r w:rsidR="00290462" w:rsidRPr="00AE00F1">
                <w:rPr>
                  <w:rStyle w:val="Hyperlink"/>
                  <w:rFonts w:asciiTheme="minorHAnsi" w:hAnsiTheme="minorHAnsi"/>
                  <w:sz w:val="22"/>
                  <w:lang w:val="en-GB"/>
                </w:rPr>
                <w:t>Regulations</w:t>
              </w:r>
            </w:hyperlink>
            <w:r w:rsidR="00290462" w:rsidRPr="13223F32">
              <w:rPr>
                <w:rFonts w:asciiTheme="minorHAnsi" w:hAnsiTheme="minorHAnsi"/>
                <w:sz w:val="22"/>
                <w:lang w:val="en-GB"/>
              </w:rPr>
              <w:t xml:space="preserve"> and</w:t>
            </w:r>
            <w:r w:rsidRPr="13223F32">
              <w:rPr>
                <w:rFonts w:asciiTheme="minorHAnsi" w:hAnsiTheme="minorHAnsi"/>
                <w:sz w:val="22"/>
                <w:lang w:val="en-GB"/>
              </w:rPr>
              <w:t xml:space="preserve"> </w:t>
            </w:r>
            <w:hyperlink r:id="rId20" w:history="1">
              <w:r w:rsidRPr="00BE2F10">
                <w:rPr>
                  <w:rStyle w:val="Hyperlink"/>
                  <w:rFonts w:asciiTheme="minorHAnsi" w:hAnsiTheme="minorHAnsi"/>
                  <w:sz w:val="22"/>
                  <w:lang w:val="en-GB"/>
                </w:rPr>
                <w:t>Insurance Guidelines for Global Fund grants</w:t>
              </w:r>
            </w:hyperlink>
            <w:r w:rsidRPr="13223F32">
              <w:rPr>
                <w:rFonts w:asciiTheme="minorHAnsi" w:hAnsiTheme="minorHAnsi"/>
                <w:sz w:val="22"/>
                <w:lang w:val="en-GB"/>
              </w:rPr>
              <w:t>), secure storage prior to deployment, logbooks and regular operational maintenance and repairs, to ensure effective, efficient and economical use of Fixed Assets.</w:t>
            </w:r>
          </w:p>
          <w:p w14:paraId="36D72B9D" w14:textId="77777777" w:rsidR="00312E86" w:rsidRPr="00A323A3" w:rsidRDefault="00312E86" w:rsidP="004D2B2A">
            <w:pPr>
              <w:spacing w:before="100" w:after="100" w:line="240" w:lineRule="auto"/>
              <w:rPr>
                <w:rFonts w:asciiTheme="minorHAnsi" w:hAnsiTheme="minorHAnsi"/>
                <w:sz w:val="22"/>
                <w:lang w:val="en-GB"/>
              </w:rPr>
            </w:pPr>
          </w:p>
        </w:tc>
        <w:tc>
          <w:tcPr>
            <w:tcW w:w="3029" w:type="pct"/>
          </w:tcPr>
          <w:p w14:paraId="77B10065" w14:textId="77777777" w:rsidR="00312E86" w:rsidRPr="00A323A3" w:rsidRDefault="00312E86" w:rsidP="004D2B2A">
            <w:pPr>
              <w:pStyle w:val="ListParagraph"/>
              <w:numPr>
                <w:ilvl w:val="0"/>
                <w:numId w:val="38"/>
              </w:numPr>
              <w:spacing w:before="100" w:after="100" w:line="240" w:lineRule="auto"/>
              <w:rPr>
                <w:rFonts w:asciiTheme="minorHAnsi" w:hAnsiTheme="minorHAnsi"/>
                <w:sz w:val="22"/>
                <w:lang w:val="en-GB"/>
              </w:rPr>
            </w:pPr>
            <w:r w:rsidRPr="13223F32">
              <w:rPr>
                <w:rFonts w:asciiTheme="minorHAnsi" w:hAnsiTheme="minorHAnsi"/>
                <w:sz w:val="22"/>
                <w:lang w:val="en-GB"/>
              </w:rPr>
              <w:t>Verify existence and functionality of fixed assets by carrying out a physical verification exercise and review of assets maintenance plan or record.</w:t>
            </w:r>
          </w:p>
          <w:p w14:paraId="5C692524" w14:textId="77777777" w:rsidR="00312E86" w:rsidRPr="00A323A3" w:rsidRDefault="00312E86" w:rsidP="004D2B2A">
            <w:pPr>
              <w:pStyle w:val="ListParagraph"/>
              <w:numPr>
                <w:ilvl w:val="0"/>
                <w:numId w:val="38"/>
              </w:numPr>
              <w:spacing w:before="100" w:after="100" w:line="240" w:lineRule="auto"/>
              <w:rPr>
                <w:rFonts w:asciiTheme="minorHAnsi" w:hAnsiTheme="minorHAnsi"/>
                <w:sz w:val="22"/>
                <w:lang w:val="en-GB"/>
              </w:rPr>
            </w:pPr>
            <w:r w:rsidRPr="13223F32">
              <w:rPr>
                <w:rFonts w:asciiTheme="minorHAnsi" w:hAnsiTheme="minorHAnsi"/>
                <w:sz w:val="22"/>
                <w:lang w:val="en-GB"/>
              </w:rPr>
              <w:t>Check whether the assets procured have appropriate insurance coverage.</w:t>
            </w:r>
          </w:p>
          <w:p w14:paraId="48C2B90F" w14:textId="77777777" w:rsidR="00312E86" w:rsidRPr="00A323A3" w:rsidRDefault="00312E86" w:rsidP="004D2B2A">
            <w:pPr>
              <w:pStyle w:val="ListParagraph"/>
              <w:numPr>
                <w:ilvl w:val="0"/>
                <w:numId w:val="38"/>
              </w:numPr>
              <w:spacing w:before="100" w:after="100" w:line="240" w:lineRule="auto"/>
              <w:rPr>
                <w:rFonts w:asciiTheme="minorHAnsi" w:hAnsiTheme="minorHAnsi"/>
                <w:sz w:val="22"/>
                <w:lang w:val="en-GB"/>
              </w:rPr>
            </w:pPr>
            <w:r w:rsidRPr="13223F32">
              <w:rPr>
                <w:rFonts w:asciiTheme="minorHAnsi" w:hAnsiTheme="minorHAnsi"/>
                <w:sz w:val="22"/>
                <w:lang w:val="en-GB"/>
              </w:rPr>
              <w:t xml:space="preserve">For vehicles and other moveable assets, verify ownership of recorded fixed assets by reviewing relevant ownership documents. </w:t>
            </w:r>
          </w:p>
          <w:p w14:paraId="71424C43" w14:textId="77777777" w:rsidR="00312E86" w:rsidRPr="00A323A3" w:rsidRDefault="00312E86" w:rsidP="004D2B2A">
            <w:pPr>
              <w:pStyle w:val="ListParagraph"/>
              <w:numPr>
                <w:ilvl w:val="0"/>
                <w:numId w:val="38"/>
              </w:numPr>
              <w:spacing w:before="100" w:after="100" w:line="240" w:lineRule="auto"/>
              <w:rPr>
                <w:rFonts w:asciiTheme="minorHAnsi" w:hAnsiTheme="minorHAnsi"/>
                <w:sz w:val="22"/>
                <w:lang w:val="en-GB"/>
              </w:rPr>
            </w:pPr>
            <w:r w:rsidRPr="13223F32">
              <w:rPr>
                <w:rFonts w:asciiTheme="minorHAnsi" w:hAnsiTheme="minorHAnsi"/>
                <w:sz w:val="22"/>
                <w:lang w:val="en-GB"/>
              </w:rPr>
              <w:t>For vehicles and other moveable assets, obtain and review the movement/usage logs, noting any non-official usage.</w:t>
            </w:r>
          </w:p>
          <w:p w14:paraId="1774A20D" w14:textId="77777777" w:rsidR="00312E86" w:rsidRPr="00A323A3" w:rsidRDefault="00312E86" w:rsidP="004D2B2A">
            <w:pPr>
              <w:pStyle w:val="ListParagraph"/>
              <w:numPr>
                <w:ilvl w:val="0"/>
                <w:numId w:val="38"/>
              </w:numPr>
              <w:spacing w:before="100" w:after="100" w:line="240" w:lineRule="auto"/>
              <w:rPr>
                <w:rFonts w:asciiTheme="minorHAnsi" w:hAnsiTheme="minorHAnsi"/>
                <w:sz w:val="22"/>
                <w:lang w:val="en-GB"/>
              </w:rPr>
            </w:pPr>
            <w:r w:rsidRPr="13223F32">
              <w:rPr>
                <w:rFonts w:asciiTheme="minorHAnsi" w:hAnsiTheme="minorHAnsi"/>
                <w:sz w:val="22"/>
                <w:lang w:val="en-GB"/>
              </w:rPr>
              <w:t>Where non</w:t>
            </w:r>
            <w:r>
              <w:rPr>
                <w:rFonts w:asciiTheme="minorHAnsi" w:hAnsiTheme="minorHAnsi"/>
                <w:sz w:val="22"/>
                <w:lang w:val="en-GB"/>
              </w:rPr>
              <w:t>-</w:t>
            </w:r>
            <w:r w:rsidRPr="13223F32">
              <w:rPr>
                <w:rFonts w:asciiTheme="minorHAnsi" w:hAnsiTheme="minorHAnsi"/>
                <w:sz w:val="22"/>
                <w:lang w:val="en-GB"/>
              </w:rPr>
              <w:t>official usage is observed, review implementers processes around authorization and approval.</w:t>
            </w:r>
          </w:p>
          <w:p w14:paraId="70797C00" w14:textId="5C5FD228" w:rsidR="00312E86" w:rsidRPr="00A323A3" w:rsidRDefault="00312E86" w:rsidP="004D2B2A">
            <w:pPr>
              <w:pStyle w:val="ListParagraph"/>
              <w:numPr>
                <w:ilvl w:val="0"/>
                <w:numId w:val="38"/>
              </w:numPr>
              <w:spacing w:before="100" w:after="100" w:line="240" w:lineRule="auto"/>
              <w:rPr>
                <w:rFonts w:asciiTheme="minorHAnsi" w:hAnsiTheme="minorHAnsi"/>
                <w:sz w:val="22"/>
                <w:lang w:val="en-GB"/>
              </w:rPr>
            </w:pPr>
            <w:r w:rsidRPr="13223F32">
              <w:rPr>
                <w:rFonts w:asciiTheme="minorHAnsi" w:hAnsiTheme="minorHAnsi"/>
                <w:sz w:val="22"/>
                <w:lang w:val="en-GB"/>
              </w:rPr>
              <w:t>Obtain and review asset maintenance and repairs record</w:t>
            </w:r>
            <w:r w:rsidR="00290462">
              <w:rPr>
                <w:rFonts w:asciiTheme="minorHAnsi" w:hAnsiTheme="minorHAnsi"/>
                <w:sz w:val="22"/>
                <w:lang w:val="en-GB"/>
              </w:rPr>
              <w:t>.</w:t>
            </w:r>
          </w:p>
        </w:tc>
      </w:tr>
      <w:tr w:rsidR="00312E86" w14:paraId="4EFF5FEF" w14:textId="77777777" w:rsidTr="004D2B2A">
        <w:tc>
          <w:tcPr>
            <w:tcW w:w="273" w:type="pct"/>
          </w:tcPr>
          <w:p w14:paraId="5E85B230" w14:textId="77777777" w:rsidR="00312E86" w:rsidRPr="00CA219F" w:rsidRDefault="00312E86" w:rsidP="004D2B2A">
            <w:pPr>
              <w:spacing w:before="100" w:after="100" w:line="240" w:lineRule="auto"/>
              <w:rPr>
                <w:rFonts w:asciiTheme="minorHAnsi" w:hAnsiTheme="minorHAnsi" w:cstheme="minorHAnsi"/>
                <w:sz w:val="22"/>
                <w:lang w:val="en-GB"/>
              </w:rPr>
            </w:pPr>
            <w:r w:rsidRPr="00CA219F">
              <w:rPr>
                <w:rFonts w:asciiTheme="minorHAnsi" w:hAnsiTheme="minorHAnsi" w:cstheme="minorHAnsi"/>
                <w:sz w:val="22"/>
                <w:lang w:val="en-GB"/>
              </w:rPr>
              <w:t>5.</w:t>
            </w:r>
          </w:p>
        </w:tc>
        <w:tc>
          <w:tcPr>
            <w:tcW w:w="1698" w:type="pct"/>
          </w:tcPr>
          <w:p w14:paraId="4A11C90F" w14:textId="0AC8368E" w:rsidR="00312E86" w:rsidRPr="00516674" w:rsidRDefault="00312E86" w:rsidP="004D2B2A">
            <w:pPr>
              <w:spacing w:before="100" w:after="100" w:line="240" w:lineRule="auto"/>
            </w:pPr>
            <w:r w:rsidRPr="0068570E">
              <w:rPr>
                <w:rFonts w:asciiTheme="minorHAnsi" w:hAnsiTheme="minorHAnsi" w:cstheme="minorHAnsi"/>
                <w:sz w:val="22"/>
                <w:lang w:val="en-GB"/>
              </w:rPr>
              <w:t xml:space="preserve">Confirm that the implementer </w:t>
            </w:r>
            <w:r>
              <w:rPr>
                <w:rFonts w:asciiTheme="minorHAnsi" w:hAnsiTheme="minorHAnsi" w:cstheme="minorHAnsi"/>
                <w:sz w:val="22"/>
                <w:lang w:val="en-GB"/>
              </w:rPr>
              <w:t xml:space="preserve">is </w:t>
            </w:r>
            <w:r w:rsidRPr="0068570E">
              <w:rPr>
                <w:rFonts w:asciiTheme="minorHAnsi" w:hAnsiTheme="minorHAnsi" w:cstheme="minorHAnsi"/>
                <w:sz w:val="22"/>
                <w:lang w:val="en-GB"/>
              </w:rPr>
              <w:t xml:space="preserve">undertaking an inventory </w:t>
            </w:r>
            <w:r>
              <w:rPr>
                <w:rFonts w:asciiTheme="minorHAnsi" w:hAnsiTheme="minorHAnsi" w:cstheme="minorHAnsi"/>
                <w:sz w:val="22"/>
                <w:lang w:val="en-GB"/>
              </w:rPr>
              <w:t xml:space="preserve">count </w:t>
            </w:r>
            <w:r w:rsidRPr="0068570E">
              <w:rPr>
                <w:rFonts w:asciiTheme="minorHAnsi" w:hAnsiTheme="minorHAnsi" w:cstheme="minorHAnsi"/>
                <w:sz w:val="22"/>
                <w:lang w:val="en-GB"/>
              </w:rPr>
              <w:t>(including a physical verification) of Fixed Assets on a regular basis as per</w:t>
            </w:r>
            <w:r>
              <w:rPr>
                <w:rFonts w:asciiTheme="minorHAnsi" w:hAnsiTheme="minorHAnsi" w:cstheme="minorHAnsi"/>
                <w:sz w:val="22"/>
                <w:lang w:val="en-GB"/>
              </w:rPr>
              <w:t xml:space="preserve"> the </w:t>
            </w:r>
            <w:hyperlink r:id="rId21" w:history="1">
              <w:r w:rsidRPr="000D52FA">
                <w:rPr>
                  <w:rStyle w:val="Hyperlink"/>
                  <w:rFonts w:asciiTheme="minorHAnsi" w:hAnsiTheme="minorHAnsi" w:cstheme="minorHAnsi"/>
                  <w:sz w:val="22"/>
                  <w:lang w:val="en-GB"/>
                </w:rPr>
                <w:t>Global Fund’s guidelines for fixed asset management.</w:t>
              </w:r>
            </w:hyperlink>
          </w:p>
          <w:p w14:paraId="275B1453" w14:textId="77777777" w:rsidR="00312E86" w:rsidRPr="00CA219F" w:rsidRDefault="00312E86" w:rsidP="004D2B2A">
            <w:pPr>
              <w:spacing w:before="100" w:after="100" w:line="240" w:lineRule="auto"/>
              <w:rPr>
                <w:rFonts w:asciiTheme="minorHAnsi" w:hAnsiTheme="minorHAnsi" w:cstheme="minorHAnsi"/>
                <w:b/>
                <w:bCs/>
                <w:sz w:val="22"/>
              </w:rPr>
            </w:pPr>
          </w:p>
        </w:tc>
        <w:tc>
          <w:tcPr>
            <w:tcW w:w="3029" w:type="pct"/>
          </w:tcPr>
          <w:p w14:paraId="6C277FC1" w14:textId="77777777" w:rsidR="00312E86" w:rsidRDefault="00312E86" w:rsidP="004D2B2A">
            <w:pPr>
              <w:pStyle w:val="ListParagraph"/>
              <w:numPr>
                <w:ilvl w:val="0"/>
                <w:numId w:val="39"/>
              </w:numPr>
              <w:spacing w:before="100" w:after="100" w:line="240" w:lineRule="auto"/>
              <w:rPr>
                <w:rFonts w:asciiTheme="minorHAnsi" w:hAnsiTheme="minorHAnsi" w:cstheme="minorHAnsi"/>
                <w:sz w:val="22"/>
                <w:lang w:val="en-GB"/>
              </w:rPr>
            </w:pPr>
            <w:r w:rsidRPr="00CA219F">
              <w:rPr>
                <w:rFonts w:asciiTheme="minorHAnsi" w:hAnsiTheme="minorHAnsi" w:cstheme="minorHAnsi"/>
                <w:sz w:val="22"/>
                <w:lang w:val="en-GB"/>
              </w:rPr>
              <w:t xml:space="preserve">Obtain </w:t>
            </w:r>
            <w:r>
              <w:rPr>
                <w:rFonts w:asciiTheme="minorHAnsi" w:hAnsiTheme="minorHAnsi" w:cstheme="minorHAnsi"/>
                <w:sz w:val="22"/>
                <w:lang w:val="en-GB"/>
              </w:rPr>
              <w:t xml:space="preserve">and review </w:t>
            </w:r>
            <w:r w:rsidRPr="00CA219F">
              <w:rPr>
                <w:rFonts w:asciiTheme="minorHAnsi" w:hAnsiTheme="minorHAnsi" w:cstheme="minorHAnsi"/>
                <w:sz w:val="22"/>
                <w:lang w:val="en-GB"/>
              </w:rPr>
              <w:t xml:space="preserve">the </w:t>
            </w:r>
            <w:r>
              <w:rPr>
                <w:rFonts w:asciiTheme="minorHAnsi" w:hAnsiTheme="minorHAnsi" w:cstheme="minorHAnsi"/>
                <w:sz w:val="22"/>
                <w:lang w:val="en-GB"/>
              </w:rPr>
              <w:t>latest fixed assets physical verification report.</w:t>
            </w:r>
          </w:p>
          <w:p w14:paraId="425CF384" w14:textId="77777777" w:rsidR="00312E86" w:rsidRPr="00FE7B8D" w:rsidRDefault="00312E86" w:rsidP="004D2B2A">
            <w:pPr>
              <w:pStyle w:val="ListParagraph"/>
              <w:numPr>
                <w:ilvl w:val="0"/>
                <w:numId w:val="39"/>
              </w:numPr>
              <w:spacing w:before="100" w:after="100" w:line="240" w:lineRule="auto"/>
              <w:rPr>
                <w:rFonts w:asciiTheme="minorHAnsi" w:hAnsiTheme="minorHAnsi" w:cstheme="minorHAnsi"/>
                <w:sz w:val="22"/>
                <w:lang w:val="en-GB"/>
              </w:rPr>
            </w:pPr>
            <w:r w:rsidRPr="00FE7B8D">
              <w:rPr>
                <w:rFonts w:asciiTheme="minorHAnsi" w:hAnsiTheme="minorHAnsi" w:cstheme="minorHAnsi"/>
                <w:sz w:val="22"/>
                <w:lang w:val="en-GB"/>
              </w:rPr>
              <w:t>Review PR</w:t>
            </w:r>
            <w:r>
              <w:rPr>
                <w:rFonts w:asciiTheme="minorHAnsi" w:hAnsiTheme="minorHAnsi" w:cstheme="minorHAnsi"/>
                <w:sz w:val="22"/>
                <w:lang w:val="en-GB"/>
              </w:rPr>
              <w:t>’s</w:t>
            </w:r>
            <w:r w:rsidRPr="00FE7B8D">
              <w:rPr>
                <w:rFonts w:asciiTheme="minorHAnsi" w:hAnsiTheme="minorHAnsi" w:cstheme="minorHAnsi"/>
                <w:sz w:val="22"/>
                <w:lang w:val="en-GB"/>
              </w:rPr>
              <w:t xml:space="preserve"> asset verification procedures for recording, identifying assets, and identifying obsolete/damaged assets.</w:t>
            </w:r>
          </w:p>
          <w:p w14:paraId="02F6F815" w14:textId="77777777" w:rsidR="00312E86" w:rsidRDefault="00312E86" w:rsidP="004D2B2A">
            <w:pPr>
              <w:pStyle w:val="ListParagraph"/>
              <w:numPr>
                <w:ilvl w:val="0"/>
                <w:numId w:val="39"/>
              </w:numPr>
              <w:spacing w:before="100" w:after="100" w:line="240" w:lineRule="auto"/>
              <w:rPr>
                <w:rFonts w:asciiTheme="minorHAnsi" w:hAnsiTheme="minorHAnsi" w:cstheme="minorHAnsi"/>
                <w:sz w:val="22"/>
                <w:lang w:val="en-GB"/>
              </w:rPr>
            </w:pPr>
            <w:r w:rsidRPr="00FE7B8D">
              <w:rPr>
                <w:rFonts w:asciiTheme="minorHAnsi" w:hAnsiTheme="minorHAnsi" w:cstheme="minorHAnsi"/>
                <w:sz w:val="22"/>
                <w:lang w:val="en-GB"/>
              </w:rPr>
              <w:t>Review internal controls such as labelling/tagging and reports from previous PR periodic verification.</w:t>
            </w:r>
          </w:p>
          <w:p w14:paraId="7A2094F4" w14:textId="051174D6" w:rsidR="00312E86" w:rsidRPr="00CA219F" w:rsidRDefault="00312E86" w:rsidP="004D2B2A">
            <w:pPr>
              <w:pStyle w:val="ListParagraph"/>
              <w:numPr>
                <w:ilvl w:val="0"/>
                <w:numId w:val="39"/>
              </w:numPr>
              <w:spacing w:before="100" w:after="100" w:line="240" w:lineRule="auto"/>
              <w:rPr>
                <w:rFonts w:asciiTheme="minorHAnsi" w:hAnsiTheme="minorHAnsi" w:cstheme="minorHAnsi"/>
                <w:sz w:val="22"/>
                <w:lang w:val="en-GB"/>
              </w:rPr>
            </w:pPr>
            <w:r>
              <w:rPr>
                <w:rFonts w:asciiTheme="minorHAnsi" w:hAnsiTheme="minorHAnsi" w:cstheme="minorHAnsi"/>
                <w:sz w:val="22"/>
                <w:lang w:val="en-GB"/>
              </w:rPr>
              <w:t xml:space="preserve">Obtain and </w:t>
            </w:r>
            <w:r w:rsidRPr="002556CC">
              <w:rPr>
                <w:rFonts w:asciiTheme="minorHAnsi" w:hAnsiTheme="minorHAnsi" w:cstheme="minorHAnsi"/>
                <w:sz w:val="22"/>
                <w:lang w:val="en-GB"/>
              </w:rPr>
              <w:t xml:space="preserve">review </w:t>
            </w:r>
            <w:r>
              <w:rPr>
                <w:rFonts w:asciiTheme="minorHAnsi" w:hAnsiTheme="minorHAnsi" w:cstheme="minorHAnsi"/>
                <w:sz w:val="22"/>
                <w:lang w:val="en-GB"/>
              </w:rPr>
              <w:t xml:space="preserve">the implementer’s </w:t>
            </w:r>
            <w:r w:rsidRPr="002556CC">
              <w:rPr>
                <w:rFonts w:asciiTheme="minorHAnsi" w:hAnsiTheme="minorHAnsi" w:cstheme="minorHAnsi"/>
                <w:sz w:val="22"/>
                <w:lang w:val="en-GB"/>
              </w:rPr>
              <w:t>assessment</w:t>
            </w:r>
            <w:r>
              <w:rPr>
                <w:rFonts w:asciiTheme="minorHAnsi" w:hAnsiTheme="minorHAnsi" w:cstheme="minorHAnsi"/>
                <w:sz w:val="22"/>
                <w:lang w:val="en-GB"/>
              </w:rPr>
              <w:t xml:space="preserve"> report </w:t>
            </w:r>
            <w:r w:rsidRPr="002556CC">
              <w:rPr>
                <w:rFonts w:asciiTheme="minorHAnsi" w:hAnsiTheme="minorHAnsi" w:cstheme="minorHAnsi"/>
                <w:sz w:val="22"/>
                <w:lang w:val="en-GB"/>
              </w:rPr>
              <w:t>o</w:t>
            </w:r>
            <w:r>
              <w:rPr>
                <w:rFonts w:asciiTheme="minorHAnsi" w:hAnsiTheme="minorHAnsi" w:cstheme="minorHAnsi"/>
                <w:sz w:val="22"/>
                <w:lang w:val="en-GB"/>
              </w:rPr>
              <w:t>n</w:t>
            </w:r>
            <w:r w:rsidRPr="002556CC">
              <w:rPr>
                <w:rFonts w:asciiTheme="minorHAnsi" w:hAnsiTheme="minorHAnsi" w:cstheme="minorHAnsi"/>
                <w:sz w:val="22"/>
                <w:lang w:val="en-GB"/>
              </w:rPr>
              <w:t xml:space="preserve"> the current condition and expected estimated remaining useful life of the Fixed Assets</w:t>
            </w:r>
            <w:r w:rsidR="00690F2D">
              <w:rPr>
                <w:rFonts w:asciiTheme="minorHAnsi" w:hAnsiTheme="minorHAnsi" w:cstheme="minorHAnsi"/>
                <w:sz w:val="22"/>
                <w:lang w:val="en-GB"/>
              </w:rPr>
              <w:t>.</w:t>
            </w:r>
            <w:r w:rsidRPr="002556CC">
              <w:rPr>
                <w:rFonts w:asciiTheme="minorHAnsi" w:hAnsiTheme="minorHAnsi" w:cstheme="minorHAnsi"/>
                <w:sz w:val="22"/>
                <w:lang w:val="en-GB"/>
              </w:rPr>
              <w:t xml:space="preserve"> </w:t>
            </w:r>
          </w:p>
        </w:tc>
      </w:tr>
      <w:tr w:rsidR="00312E86" w14:paraId="1CDAF4D9" w14:textId="77777777" w:rsidTr="004D2B2A">
        <w:tc>
          <w:tcPr>
            <w:tcW w:w="273" w:type="pct"/>
          </w:tcPr>
          <w:p w14:paraId="36102114" w14:textId="63C6D3C6" w:rsidR="00312E86" w:rsidRPr="00CA219F" w:rsidRDefault="00312E86" w:rsidP="004D2B2A">
            <w:pPr>
              <w:spacing w:before="100" w:after="100" w:line="240" w:lineRule="auto"/>
              <w:rPr>
                <w:rFonts w:asciiTheme="minorHAnsi" w:hAnsiTheme="minorHAnsi" w:cstheme="minorHAnsi"/>
                <w:sz w:val="22"/>
                <w:lang w:val="en-GB"/>
              </w:rPr>
            </w:pPr>
            <w:r>
              <w:rPr>
                <w:rFonts w:asciiTheme="minorHAnsi" w:hAnsiTheme="minorHAnsi" w:cstheme="minorHAnsi"/>
                <w:sz w:val="22"/>
                <w:lang w:val="en-GB"/>
              </w:rPr>
              <w:t>6</w:t>
            </w:r>
            <w:r w:rsidR="00C80B72">
              <w:rPr>
                <w:rFonts w:asciiTheme="minorHAnsi" w:hAnsiTheme="minorHAnsi" w:cstheme="minorHAnsi"/>
                <w:sz w:val="22"/>
                <w:lang w:val="en-GB"/>
              </w:rPr>
              <w:t>.</w:t>
            </w:r>
          </w:p>
        </w:tc>
        <w:tc>
          <w:tcPr>
            <w:tcW w:w="1698" w:type="pct"/>
          </w:tcPr>
          <w:p w14:paraId="23D1BA29" w14:textId="77777777" w:rsidR="00312E86" w:rsidRPr="0068570E" w:rsidRDefault="00312E86" w:rsidP="004D2B2A">
            <w:pPr>
              <w:spacing w:before="100" w:after="100" w:line="240" w:lineRule="auto"/>
              <w:rPr>
                <w:rFonts w:asciiTheme="minorHAnsi" w:hAnsiTheme="minorHAnsi"/>
                <w:sz w:val="22"/>
                <w:lang w:val="en-GB"/>
              </w:rPr>
            </w:pPr>
            <w:r w:rsidRPr="13223F32">
              <w:rPr>
                <w:rFonts w:asciiTheme="minorHAnsi" w:hAnsiTheme="minorHAnsi"/>
                <w:sz w:val="22"/>
                <w:lang w:val="en-GB"/>
              </w:rPr>
              <w:t>Fixed asset additions, disposals and transfers between implementing partners</w:t>
            </w:r>
          </w:p>
        </w:tc>
        <w:tc>
          <w:tcPr>
            <w:tcW w:w="3029" w:type="pct"/>
          </w:tcPr>
          <w:p w14:paraId="3FDF6BB8" w14:textId="77777777" w:rsidR="00312E86" w:rsidRPr="00A63771" w:rsidRDefault="00312E86" w:rsidP="004D2B2A">
            <w:pPr>
              <w:spacing w:before="100" w:after="100" w:line="240" w:lineRule="auto"/>
              <w:rPr>
                <w:rFonts w:asciiTheme="minorHAnsi" w:hAnsiTheme="minorHAnsi"/>
                <w:sz w:val="22"/>
                <w:lang w:val="en-GB"/>
              </w:rPr>
            </w:pPr>
            <w:r>
              <w:rPr>
                <w:rFonts w:asciiTheme="minorHAnsi" w:hAnsiTheme="minorHAnsi"/>
                <w:sz w:val="22"/>
                <w:lang w:val="en-GB"/>
              </w:rPr>
              <w:t>For the period under review:</w:t>
            </w:r>
          </w:p>
          <w:p w14:paraId="79344DDA" w14:textId="77777777" w:rsidR="00312E86" w:rsidRPr="00AA1F99" w:rsidRDefault="00312E86" w:rsidP="004D2B2A">
            <w:pPr>
              <w:pStyle w:val="ListParagraph"/>
              <w:numPr>
                <w:ilvl w:val="0"/>
                <w:numId w:val="40"/>
              </w:numPr>
              <w:spacing w:before="100" w:after="100" w:line="240" w:lineRule="auto"/>
              <w:rPr>
                <w:rFonts w:asciiTheme="minorHAnsi" w:hAnsiTheme="minorHAnsi"/>
                <w:sz w:val="22"/>
                <w:lang w:val="en-GB"/>
              </w:rPr>
            </w:pPr>
            <w:r>
              <w:rPr>
                <w:rFonts w:asciiTheme="minorHAnsi" w:hAnsiTheme="minorHAnsi"/>
                <w:sz w:val="22"/>
                <w:lang w:val="en-GB"/>
              </w:rPr>
              <w:t>T</w:t>
            </w:r>
            <w:r w:rsidRPr="13223F32">
              <w:rPr>
                <w:rFonts w:asciiTheme="minorHAnsi" w:hAnsiTheme="minorHAnsi"/>
                <w:sz w:val="22"/>
                <w:lang w:val="en-GB"/>
              </w:rPr>
              <w:t>race fixed asset additions from budget to expenditure general ledger to fixed asset register.</w:t>
            </w:r>
          </w:p>
          <w:p w14:paraId="669BA67E" w14:textId="10EF10BA" w:rsidR="00312E86" w:rsidRPr="00AA1F99" w:rsidRDefault="00312E86" w:rsidP="004D2B2A">
            <w:pPr>
              <w:pStyle w:val="ListParagraph"/>
              <w:numPr>
                <w:ilvl w:val="0"/>
                <w:numId w:val="40"/>
              </w:numPr>
              <w:spacing w:before="100" w:after="100" w:line="240" w:lineRule="auto"/>
              <w:rPr>
                <w:rFonts w:asciiTheme="minorHAnsi" w:hAnsiTheme="minorHAnsi"/>
                <w:sz w:val="22"/>
                <w:lang w:val="en-GB"/>
              </w:rPr>
            </w:pPr>
            <w:r w:rsidRPr="13223F32">
              <w:rPr>
                <w:rFonts w:asciiTheme="minorHAnsi" w:hAnsiTheme="minorHAnsi"/>
                <w:sz w:val="22"/>
                <w:lang w:val="en-GB"/>
              </w:rPr>
              <w:t>Obtain a list of all assets disposed during the period and review for completeness, accuracy and appropriate authorizations/approvals</w:t>
            </w:r>
            <w:r w:rsidR="001D775A">
              <w:rPr>
                <w:rFonts w:asciiTheme="minorHAnsi" w:hAnsiTheme="minorHAnsi"/>
                <w:sz w:val="22"/>
                <w:lang w:val="en-GB"/>
              </w:rPr>
              <w:t>.</w:t>
            </w:r>
          </w:p>
          <w:p w14:paraId="7C4F2B2D" w14:textId="3E6167B1" w:rsidR="00312E86" w:rsidRPr="00AA1F99" w:rsidRDefault="00312E86" w:rsidP="004D2B2A">
            <w:pPr>
              <w:pStyle w:val="ListParagraph"/>
              <w:numPr>
                <w:ilvl w:val="0"/>
                <w:numId w:val="40"/>
              </w:numPr>
              <w:spacing w:before="100" w:after="100" w:line="240" w:lineRule="auto"/>
              <w:rPr>
                <w:rFonts w:asciiTheme="minorHAnsi" w:hAnsiTheme="minorHAnsi"/>
                <w:sz w:val="22"/>
                <w:lang w:val="en-GB"/>
              </w:rPr>
            </w:pPr>
            <w:r w:rsidRPr="13223F32">
              <w:rPr>
                <w:rFonts w:asciiTheme="minorHAnsi" w:hAnsiTheme="minorHAnsi"/>
                <w:sz w:val="22"/>
                <w:lang w:val="en-GB"/>
              </w:rPr>
              <w:t>Ensure the asset disposal follows the implementers policy and complies with the various provisions within section 5 of the GF fixed asset management guidelines</w:t>
            </w:r>
            <w:r w:rsidR="001D775A">
              <w:rPr>
                <w:rFonts w:asciiTheme="minorHAnsi" w:hAnsiTheme="minorHAnsi"/>
                <w:sz w:val="22"/>
                <w:lang w:val="en-GB"/>
              </w:rPr>
              <w:t>.</w:t>
            </w:r>
          </w:p>
          <w:p w14:paraId="043863C6" w14:textId="621F714D" w:rsidR="00312E86" w:rsidRPr="00AA1F99" w:rsidRDefault="00312E86" w:rsidP="004D2B2A">
            <w:pPr>
              <w:pStyle w:val="ListParagraph"/>
              <w:numPr>
                <w:ilvl w:val="0"/>
                <w:numId w:val="40"/>
              </w:numPr>
              <w:spacing w:before="100" w:after="100" w:line="240" w:lineRule="auto"/>
              <w:rPr>
                <w:rFonts w:asciiTheme="minorHAnsi" w:hAnsiTheme="minorHAnsi"/>
                <w:sz w:val="22"/>
                <w:lang w:val="en-GB"/>
              </w:rPr>
            </w:pPr>
            <w:r w:rsidRPr="13223F32">
              <w:rPr>
                <w:rFonts w:asciiTheme="minorHAnsi" w:hAnsiTheme="minorHAnsi"/>
                <w:sz w:val="22"/>
                <w:lang w:val="en-GB"/>
              </w:rPr>
              <w:t xml:space="preserve">For asset transfers from one implementing partner to another, review the transfer documentation and ensure </w:t>
            </w:r>
            <w:r w:rsidR="00E36280">
              <w:rPr>
                <w:rFonts w:asciiTheme="minorHAnsi" w:hAnsiTheme="minorHAnsi"/>
                <w:sz w:val="22"/>
                <w:lang w:val="en-GB"/>
              </w:rPr>
              <w:t xml:space="preserve">that </w:t>
            </w:r>
            <w:r w:rsidRPr="13223F32">
              <w:rPr>
                <w:rFonts w:asciiTheme="minorHAnsi" w:hAnsiTheme="minorHAnsi"/>
                <w:sz w:val="22"/>
                <w:lang w:val="en-GB"/>
              </w:rPr>
              <w:t>it follows the guidelines under section 5.3 of the GF fixed asset management guidelines</w:t>
            </w:r>
            <w:r w:rsidR="001D775A">
              <w:rPr>
                <w:rFonts w:asciiTheme="minorHAnsi" w:hAnsiTheme="minorHAnsi"/>
                <w:sz w:val="22"/>
                <w:lang w:val="en-GB"/>
              </w:rPr>
              <w:t>.</w:t>
            </w:r>
          </w:p>
          <w:p w14:paraId="02585150" w14:textId="77777777" w:rsidR="00312E86" w:rsidRPr="00AA1F99" w:rsidRDefault="00312E86" w:rsidP="004D2B2A">
            <w:pPr>
              <w:pStyle w:val="ListParagraph"/>
              <w:numPr>
                <w:ilvl w:val="0"/>
                <w:numId w:val="40"/>
              </w:numPr>
              <w:spacing w:before="100" w:after="100" w:line="240" w:lineRule="auto"/>
              <w:rPr>
                <w:rFonts w:asciiTheme="minorHAnsi" w:hAnsiTheme="minorHAnsi"/>
                <w:sz w:val="22"/>
                <w:lang w:val="en-GB"/>
              </w:rPr>
            </w:pPr>
            <w:r w:rsidRPr="13223F32">
              <w:rPr>
                <w:rFonts w:asciiTheme="minorHAnsi" w:hAnsiTheme="minorHAnsi"/>
                <w:sz w:val="22"/>
                <w:lang w:val="en-GB"/>
              </w:rPr>
              <w:t>Review and ensure support</w:t>
            </w:r>
            <w:r>
              <w:rPr>
                <w:rFonts w:asciiTheme="minorHAnsi" w:hAnsiTheme="minorHAnsi"/>
                <w:sz w:val="22"/>
                <w:lang w:val="en-GB"/>
              </w:rPr>
              <w:t>ing</w:t>
            </w:r>
            <w:r w:rsidRPr="13223F32">
              <w:rPr>
                <w:rFonts w:asciiTheme="minorHAnsi" w:hAnsiTheme="minorHAnsi"/>
                <w:sz w:val="22"/>
                <w:lang w:val="en-GB"/>
              </w:rPr>
              <w:t xml:space="preserve"> documentation for asset transfers includes asset verification reports and justified rationale for the transfers or disposal.</w:t>
            </w:r>
          </w:p>
          <w:p w14:paraId="11342E40" w14:textId="0D6CD285" w:rsidR="00312E86" w:rsidRPr="00AA1F99" w:rsidRDefault="00312E86" w:rsidP="004D2B2A">
            <w:pPr>
              <w:pStyle w:val="ListParagraph"/>
              <w:numPr>
                <w:ilvl w:val="0"/>
                <w:numId w:val="40"/>
              </w:numPr>
              <w:spacing w:before="100" w:after="100" w:line="240" w:lineRule="auto"/>
              <w:rPr>
                <w:rFonts w:asciiTheme="minorHAnsi" w:hAnsiTheme="minorHAnsi"/>
                <w:sz w:val="22"/>
                <w:lang w:val="en-GB"/>
              </w:rPr>
            </w:pPr>
            <w:r w:rsidRPr="13223F32">
              <w:rPr>
                <w:rFonts w:asciiTheme="minorHAnsi" w:hAnsiTheme="minorHAnsi"/>
                <w:sz w:val="22"/>
                <w:lang w:val="en-GB"/>
              </w:rPr>
              <w:lastRenderedPageBreak/>
              <w:t>Where the disposal involves sale of the asset, obtain and review records of revenues realized from the sale. Trace and confirm the sale proceeds is recorded in the general ledger</w:t>
            </w:r>
            <w:r w:rsidR="001D775A">
              <w:rPr>
                <w:rFonts w:asciiTheme="minorHAnsi" w:hAnsiTheme="minorHAnsi"/>
                <w:sz w:val="22"/>
                <w:lang w:val="en-GB"/>
              </w:rPr>
              <w:t>.</w:t>
            </w:r>
          </w:p>
          <w:p w14:paraId="19DF0BF8" w14:textId="22D4F768" w:rsidR="00312E86" w:rsidRPr="00A323A3" w:rsidRDefault="00312E86" w:rsidP="004D2B2A">
            <w:pPr>
              <w:pStyle w:val="ListParagraph"/>
              <w:numPr>
                <w:ilvl w:val="0"/>
                <w:numId w:val="40"/>
              </w:numPr>
              <w:spacing w:before="100" w:after="100" w:line="240" w:lineRule="auto"/>
              <w:rPr>
                <w:rFonts w:asciiTheme="minorHAnsi" w:hAnsiTheme="minorHAnsi"/>
                <w:sz w:val="22"/>
                <w:lang w:val="en-GB"/>
              </w:rPr>
            </w:pPr>
            <w:r w:rsidRPr="13223F32">
              <w:rPr>
                <w:rFonts w:asciiTheme="minorHAnsi" w:hAnsiTheme="minorHAnsi"/>
                <w:sz w:val="22"/>
                <w:lang w:val="en-GB"/>
              </w:rPr>
              <w:t>Obtain and review the updated FAR to confirm disposed assets are not included with the register</w:t>
            </w:r>
            <w:r w:rsidR="001D775A">
              <w:rPr>
                <w:rFonts w:asciiTheme="minorHAnsi" w:hAnsiTheme="minorHAnsi"/>
                <w:sz w:val="22"/>
                <w:lang w:val="en-GB"/>
              </w:rPr>
              <w:t>.</w:t>
            </w:r>
          </w:p>
        </w:tc>
      </w:tr>
    </w:tbl>
    <w:p w14:paraId="6C9E0DDA" w14:textId="77777777" w:rsidR="00312E86" w:rsidRDefault="00312E86" w:rsidP="004D2B2A">
      <w:pPr>
        <w:spacing w:before="100" w:after="100" w:line="240" w:lineRule="auto"/>
        <w:rPr>
          <w:rFonts w:asciiTheme="minorHAnsi" w:hAnsiTheme="minorHAnsi" w:cstheme="minorHAnsi"/>
          <w:b/>
          <w:bCs/>
          <w:sz w:val="22"/>
          <w:lang w:val="en-GB"/>
        </w:rPr>
      </w:pPr>
    </w:p>
    <w:p w14:paraId="24A14171" w14:textId="77777777" w:rsidR="004D2B2A" w:rsidRDefault="004D2B2A" w:rsidP="004D2B2A">
      <w:pPr>
        <w:pStyle w:val="ListParagraph"/>
        <w:spacing w:before="100" w:after="100" w:line="240" w:lineRule="auto"/>
        <w:ind w:left="360"/>
        <w:rPr>
          <w:rFonts w:asciiTheme="minorHAnsi" w:hAnsiTheme="minorHAnsi" w:cstheme="minorHAnsi"/>
          <w:b/>
          <w:sz w:val="22"/>
          <w:u w:val="single"/>
          <w:lang w:val="en-GB"/>
        </w:rPr>
      </w:pPr>
    </w:p>
    <w:p w14:paraId="0686648D" w14:textId="155CCFEC" w:rsidR="00312E86" w:rsidRPr="004D2B2A" w:rsidRDefault="00312E86" w:rsidP="004D2B2A">
      <w:pPr>
        <w:pStyle w:val="ListParagraph"/>
        <w:numPr>
          <w:ilvl w:val="0"/>
          <w:numId w:val="28"/>
        </w:numPr>
        <w:spacing w:before="100" w:after="100" w:line="240" w:lineRule="auto"/>
        <w:rPr>
          <w:rFonts w:asciiTheme="minorHAnsi" w:hAnsiTheme="minorHAnsi" w:cstheme="minorHAnsi"/>
          <w:b/>
          <w:sz w:val="22"/>
          <w:u w:val="single"/>
          <w:lang w:val="en-GB"/>
        </w:rPr>
      </w:pPr>
      <w:r w:rsidRPr="004D2B2A">
        <w:rPr>
          <w:rFonts w:asciiTheme="minorHAnsi" w:hAnsiTheme="minorHAnsi" w:cstheme="minorHAnsi"/>
          <w:b/>
          <w:sz w:val="22"/>
          <w:u w:val="single"/>
          <w:lang w:val="en-GB"/>
        </w:rPr>
        <w:t>Required Deliverable/Output</w:t>
      </w:r>
    </w:p>
    <w:p w14:paraId="0A19635A" w14:textId="77777777" w:rsidR="00375508" w:rsidRPr="0075306C" w:rsidRDefault="00375508" w:rsidP="00375508">
      <w:pPr>
        <w:spacing w:before="100" w:after="100" w:line="240" w:lineRule="auto"/>
        <w:rPr>
          <w:rFonts w:cs="Arial"/>
          <w:sz w:val="20"/>
          <w:szCs w:val="20"/>
          <w:lang w:val="en-GB"/>
        </w:rPr>
      </w:pPr>
      <w:r>
        <w:rPr>
          <w:rFonts w:asciiTheme="minorHAnsi" w:hAnsiTheme="minorHAnsi" w:cstheme="minorHAnsi"/>
          <w:sz w:val="22"/>
          <w:lang w:val="en-GB"/>
        </w:rPr>
        <w:t xml:space="preserve">To document </w:t>
      </w:r>
      <w:r w:rsidRPr="00546A5B">
        <w:rPr>
          <w:rFonts w:asciiTheme="minorHAnsi" w:hAnsiTheme="minorHAnsi" w:cstheme="minorHAnsi"/>
          <w:sz w:val="22"/>
          <w:lang w:val="en-GB"/>
        </w:rPr>
        <w:t>the outcome</w:t>
      </w:r>
      <w:r>
        <w:rPr>
          <w:rFonts w:asciiTheme="minorHAnsi" w:hAnsiTheme="minorHAnsi" w:cstheme="minorHAnsi"/>
          <w:sz w:val="22"/>
          <w:lang w:val="en-GB"/>
        </w:rPr>
        <w:t>s</w:t>
      </w:r>
      <w:r w:rsidRPr="00546A5B">
        <w:rPr>
          <w:rFonts w:asciiTheme="minorHAnsi" w:hAnsiTheme="minorHAnsi" w:cstheme="minorHAnsi"/>
          <w:sz w:val="22"/>
          <w:lang w:val="en-GB"/>
        </w:rPr>
        <w:t xml:space="preserve"> of the review, the Assurance provider will prepare and submit a detailed report including:</w:t>
      </w:r>
    </w:p>
    <w:p w14:paraId="0B051844" w14:textId="77777777" w:rsidR="00375508" w:rsidRDefault="00375508" w:rsidP="00375508">
      <w:pPr>
        <w:pStyle w:val="ListParagraph"/>
        <w:numPr>
          <w:ilvl w:val="0"/>
          <w:numId w:val="42"/>
        </w:numPr>
        <w:shd w:val="clear" w:color="auto" w:fill="FFFFFF"/>
        <w:spacing w:before="100" w:after="100" w:line="240" w:lineRule="auto"/>
        <w:jc w:val="both"/>
        <w:rPr>
          <w:rFonts w:asciiTheme="minorHAnsi" w:hAnsiTheme="minorHAnsi" w:cstheme="minorHAnsi"/>
          <w:sz w:val="22"/>
          <w:lang w:val="en-GB"/>
        </w:rPr>
      </w:pPr>
      <w:r w:rsidRPr="00546A5B">
        <w:rPr>
          <w:rFonts w:asciiTheme="minorHAnsi" w:hAnsiTheme="minorHAnsi" w:cstheme="minorHAnsi"/>
          <w:sz w:val="22"/>
          <w:lang w:val="en-GB"/>
        </w:rPr>
        <w:t>Overall objectives of the review as per approved TOR</w:t>
      </w:r>
    </w:p>
    <w:p w14:paraId="5D808E64" w14:textId="77777777" w:rsidR="00375508" w:rsidRDefault="00375508" w:rsidP="00375508">
      <w:pPr>
        <w:pStyle w:val="ListParagraph"/>
        <w:numPr>
          <w:ilvl w:val="0"/>
          <w:numId w:val="42"/>
        </w:numPr>
        <w:shd w:val="clear" w:color="auto" w:fill="FFFFFF"/>
        <w:spacing w:before="100" w:after="100" w:line="240" w:lineRule="auto"/>
        <w:jc w:val="both"/>
        <w:rPr>
          <w:rFonts w:asciiTheme="minorHAnsi" w:hAnsiTheme="minorHAnsi" w:cstheme="minorHAnsi"/>
          <w:sz w:val="22"/>
          <w:lang w:val="en-GB"/>
        </w:rPr>
      </w:pPr>
      <w:r>
        <w:rPr>
          <w:rFonts w:asciiTheme="minorHAnsi" w:hAnsiTheme="minorHAnsi" w:cstheme="minorHAnsi"/>
          <w:sz w:val="22"/>
          <w:lang w:val="en-GB"/>
        </w:rPr>
        <w:t xml:space="preserve">Entities covered by the assignment, period and sample under review as applicable </w:t>
      </w:r>
    </w:p>
    <w:p w14:paraId="27E37A2E" w14:textId="77777777" w:rsidR="00375508" w:rsidRDefault="00375508" w:rsidP="00375508">
      <w:pPr>
        <w:pStyle w:val="ListParagraph"/>
        <w:numPr>
          <w:ilvl w:val="0"/>
          <w:numId w:val="42"/>
        </w:numPr>
        <w:shd w:val="clear" w:color="auto" w:fill="FFFFFF"/>
        <w:spacing w:before="100" w:after="100" w:line="240" w:lineRule="auto"/>
        <w:jc w:val="both"/>
        <w:rPr>
          <w:rFonts w:asciiTheme="minorHAnsi" w:hAnsiTheme="minorHAnsi" w:cstheme="minorHAnsi"/>
          <w:sz w:val="22"/>
          <w:lang w:val="en-GB"/>
        </w:rPr>
      </w:pPr>
      <w:r w:rsidRPr="00546A5B">
        <w:rPr>
          <w:rFonts w:asciiTheme="minorHAnsi" w:hAnsiTheme="minorHAnsi" w:cstheme="minorHAnsi"/>
          <w:sz w:val="22"/>
          <w:lang w:val="en-GB"/>
        </w:rPr>
        <w:t>Main findings against each of the specific areas of the review highlighting any identified gaps in policy, process, and controls – specific to each implementer</w:t>
      </w:r>
      <w:r>
        <w:rPr>
          <w:rFonts w:asciiTheme="minorHAnsi" w:hAnsiTheme="minorHAnsi" w:cstheme="minorHAnsi"/>
          <w:sz w:val="22"/>
          <w:lang w:val="en-GB"/>
        </w:rPr>
        <w:t xml:space="preserve"> covered by the review</w:t>
      </w:r>
      <w:r w:rsidRPr="00546A5B">
        <w:rPr>
          <w:rFonts w:asciiTheme="minorHAnsi" w:hAnsiTheme="minorHAnsi" w:cstheme="minorHAnsi"/>
          <w:sz w:val="22"/>
          <w:lang w:val="en-GB"/>
        </w:rPr>
        <w:t>.</w:t>
      </w:r>
    </w:p>
    <w:p w14:paraId="5CD3071C" w14:textId="77777777" w:rsidR="00375508" w:rsidRPr="00546A5B" w:rsidRDefault="00375508" w:rsidP="00375508">
      <w:pPr>
        <w:pStyle w:val="ListParagraph"/>
        <w:numPr>
          <w:ilvl w:val="0"/>
          <w:numId w:val="42"/>
        </w:numPr>
        <w:shd w:val="clear" w:color="auto" w:fill="FFFFFF" w:themeFill="background1"/>
        <w:spacing w:before="100" w:after="100" w:line="240" w:lineRule="auto"/>
        <w:jc w:val="both"/>
        <w:rPr>
          <w:rFonts w:asciiTheme="minorHAnsi" w:hAnsiTheme="minorHAnsi"/>
          <w:sz w:val="22"/>
          <w:lang w:val="en-GB"/>
        </w:rPr>
      </w:pPr>
      <w:r>
        <w:rPr>
          <w:rFonts w:asciiTheme="minorHAnsi" w:hAnsiTheme="minorHAnsi"/>
          <w:sz w:val="22"/>
          <w:lang w:val="en-GB"/>
        </w:rPr>
        <w:t>L</w:t>
      </w:r>
      <w:r w:rsidRPr="3503FE5A">
        <w:rPr>
          <w:rFonts w:asciiTheme="minorHAnsi" w:hAnsiTheme="minorHAnsi"/>
          <w:sz w:val="22"/>
          <w:lang w:val="en-GB"/>
        </w:rPr>
        <w:t xml:space="preserve">ist of recommendations and </w:t>
      </w:r>
      <w:r>
        <w:rPr>
          <w:rFonts w:asciiTheme="minorHAnsi" w:hAnsiTheme="minorHAnsi"/>
          <w:sz w:val="22"/>
          <w:lang w:val="en-GB"/>
        </w:rPr>
        <w:t xml:space="preserve">proposed </w:t>
      </w:r>
      <w:r w:rsidRPr="3503FE5A">
        <w:rPr>
          <w:rFonts w:asciiTheme="minorHAnsi" w:hAnsiTheme="minorHAnsi"/>
          <w:sz w:val="22"/>
          <w:lang w:val="en-GB"/>
        </w:rPr>
        <w:t>practical improvements based on the findings from the ass</w:t>
      </w:r>
      <w:r>
        <w:rPr>
          <w:rFonts w:asciiTheme="minorHAnsi" w:hAnsiTheme="minorHAnsi"/>
          <w:sz w:val="22"/>
          <w:lang w:val="en-GB"/>
        </w:rPr>
        <w:t>ignment</w:t>
      </w:r>
      <w:r w:rsidRPr="3503FE5A">
        <w:rPr>
          <w:rFonts w:asciiTheme="minorHAnsi" w:hAnsiTheme="minorHAnsi"/>
          <w:sz w:val="22"/>
          <w:lang w:val="en-GB"/>
        </w:rPr>
        <w:t>.</w:t>
      </w:r>
    </w:p>
    <w:p w14:paraId="65C2CA08" w14:textId="77777777" w:rsidR="00BD6E1D" w:rsidRDefault="00BD6E1D" w:rsidP="004D2B2A">
      <w:pPr>
        <w:tabs>
          <w:tab w:val="left" w:pos="920"/>
        </w:tabs>
        <w:spacing w:before="100" w:after="100" w:line="240" w:lineRule="auto"/>
        <w:rPr>
          <w:rFonts w:asciiTheme="minorHAnsi" w:hAnsiTheme="minorHAnsi" w:cstheme="minorHAnsi"/>
          <w:sz w:val="22"/>
          <w:lang w:val="en-GB"/>
        </w:rPr>
      </w:pPr>
    </w:p>
    <w:p w14:paraId="6CCC2E8A" w14:textId="7C95BE27" w:rsidR="00312E86" w:rsidRPr="00A34E0D" w:rsidRDefault="00312E86" w:rsidP="004D2B2A">
      <w:pPr>
        <w:tabs>
          <w:tab w:val="left" w:pos="920"/>
        </w:tabs>
        <w:spacing w:before="100" w:after="100" w:line="240" w:lineRule="auto"/>
        <w:rPr>
          <w:rFonts w:asciiTheme="minorHAnsi" w:hAnsiTheme="minorHAnsi" w:cstheme="minorHAnsi"/>
          <w:sz w:val="22"/>
          <w:lang w:val="en-GB"/>
        </w:rPr>
      </w:pPr>
      <w:r w:rsidRPr="00A34E0D">
        <w:rPr>
          <w:rFonts w:asciiTheme="minorHAnsi" w:hAnsiTheme="minorHAnsi" w:cstheme="minorHAnsi"/>
          <w:sz w:val="22"/>
          <w:lang w:val="en-GB"/>
        </w:rPr>
        <w:t xml:space="preserve">Complete the </w:t>
      </w:r>
      <w:r w:rsidR="000E09C9">
        <w:rPr>
          <w:rFonts w:asciiTheme="minorHAnsi" w:hAnsiTheme="minorHAnsi" w:cstheme="minorHAnsi"/>
          <w:sz w:val="22"/>
          <w:lang w:val="en-GB"/>
        </w:rPr>
        <w:t xml:space="preserve">following </w:t>
      </w:r>
      <w:r w:rsidRPr="00A34E0D">
        <w:rPr>
          <w:rFonts w:asciiTheme="minorHAnsi" w:hAnsiTheme="minorHAnsi" w:cstheme="minorHAnsi"/>
          <w:sz w:val="22"/>
          <w:lang w:val="en-GB"/>
        </w:rPr>
        <w:t>table:</w:t>
      </w:r>
    </w:p>
    <w:tbl>
      <w:tblPr>
        <w:tblStyle w:val="TableGrid"/>
        <w:tblW w:w="5000" w:type="pct"/>
        <w:tblLook w:val="04A0" w:firstRow="1" w:lastRow="0" w:firstColumn="1" w:lastColumn="0" w:noHBand="0" w:noVBand="1"/>
      </w:tblPr>
      <w:tblGrid>
        <w:gridCol w:w="1973"/>
        <w:gridCol w:w="3487"/>
        <w:gridCol w:w="2135"/>
        <w:gridCol w:w="2145"/>
      </w:tblGrid>
      <w:tr w:rsidR="00312E86" w:rsidRPr="00A34E0D" w14:paraId="1E5CC330" w14:textId="77777777" w:rsidTr="00A63771">
        <w:tc>
          <w:tcPr>
            <w:tcW w:w="1013"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22629C" w14:textId="77777777" w:rsidR="00312E86" w:rsidRPr="00A34E0D" w:rsidRDefault="00312E86" w:rsidP="004D2B2A">
            <w:pPr>
              <w:spacing w:before="100" w:after="100" w:line="240" w:lineRule="auto"/>
              <w:rPr>
                <w:b/>
                <w:bCs/>
                <w:sz w:val="22"/>
              </w:rPr>
            </w:pPr>
            <w:r w:rsidRPr="00A34E0D">
              <w:rPr>
                <w:b/>
                <w:bCs/>
                <w:sz w:val="22"/>
              </w:rPr>
              <w:t>Findings</w:t>
            </w:r>
          </w:p>
        </w:tc>
        <w:tc>
          <w:tcPr>
            <w:tcW w:w="179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2DEBE3" w14:textId="77777777" w:rsidR="00312E86" w:rsidRPr="00A34E0D" w:rsidRDefault="00312E86" w:rsidP="004D2B2A">
            <w:pPr>
              <w:spacing w:before="100" w:after="100" w:line="240" w:lineRule="auto"/>
              <w:rPr>
                <w:b/>
                <w:bCs/>
                <w:sz w:val="22"/>
              </w:rPr>
            </w:pPr>
            <w:r w:rsidRPr="00A34E0D">
              <w:rPr>
                <w:b/>
                <w:bCs/>
                <w:sz w:val="22"/>
              </w:rPr>
              <w:t>Recommendation/Management Action</w:t>
            </w:r>
          </w:p>
        </w:tc>
        <w:tc>
          <w:tcPr>
            <w:tcW w:w="10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BF4EFC" w14:textId="77777777" w:rsidR="00312E86" w:rsidRPr="00A34E0D" w:rsidRDefault="00312E86" w:rsidP="004D2B2A">
            <w:pPr>
              <w:spacing w:before="100" w:after="100" w:line="240" w:lineRule="auto"/>
              <w:rPr>
                <w:b/>
                <w:bCs/>
                <w:sz w:val="22"/>
              </w:rPr>
            </w:pPr>
            <w:r w:rsidRPr="00A34E0D">
              <w:rPr>
                <w:b/>
                <w:bCs/>
                <w:sz w:val="22"/>
              </w:rPr>
              <w:t>Non-Compliant Expenditure</w:t>
            </w:r>
          </w:p>
        </w:tc>
        <w:tc>
          <w:tcPr>
            <w:tcW w:w="110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460C90" w14:textId="77777777" w:rsidR="00312E86" w:rsidRPr="00A34E0D" w:rsidRDefault="00312E86" w:rsidP="004D2B2A">
            <w:pPr>
              <w:spacing w:before="100" w:after="100" w:line="240" w:lineRule="auto"/>
              <w:rPr>
                <w:b/>
                <w:bCs/>
                <w:sz w:val="22"/>
              </w:rPr>
            </w:pPr>
            <w:r w:rsidRPr="00A34E0D">
              <w:rPr>
                <w:b/>
                <w:bCs/>
                <w:sz w:val="22"/>
              </w:rPr>
              <w:t>Other proposed adjustments</w:t>
            </w:r>
          </w:p>
        </w:tc>
      </w:tr>
      <w:tr w:rsidR="00312E86" w:rsidRPr="00BD5748" w14:paraId="1E1370D0" w14:textId="77777777" w:rsidTr="00A63771">
        <w:tc>
          <w:tcPr>
            <w:tcW w:w="1013" w:type="pct"/>
            <w:tcBorders>
              <w:top w:val="single" w:sz="8" w:space="0" w:color="000000" w:themeColor="text1"/>
            </w:tcBorders>
          </w:tcPr>
          <w:p w14:paraId="67B8B7DD" w14:textId="77777777" w:rsidR="00312E86" w:rsidRPr="00BD5748" w:rsidRDefault="00312E86" w:rsidP="004D2B2A">
            <w:pPr>
              <w:spacing w:before="100" w:after="100" w:line="240" w:lineRule="auto"/>
              <w:rPr>
                <w:sz w:val="20"/>
                <w:szCs w:val="20"/>
              </w:rPr>
            </w:pPr>
          </w:p>
        </w:tc>
        <w:tc>
          <w:tcPr>
            <w:tcW w:w="1790" w:type="pct"/>
            <w:tcBorders>
              <w:top w:val="single" w:sz="8" w:space="0" w:color="000000" w:themeColor="text1"/>
            </w:tcBorders>
          </w:tcPr>
          <w:p w14:paraId="347298AA" w14:textId="77777777" w:rsidR="00312E86" w:rsidRPr="00BD5748" w:rsidRDefault="00312E86" w:rsidP="004D2B2A">
            <w:pPr>
              <w:spacing w:before="100" w:after="100" w:line="240" w:lineRule="auto"/>
              <w:rPr>
                <w:sz w:val="20"/>
                <w:szCs w:val="20"/>
              </w:rPr>
            </w:pPr>
          </w:p>
        </w:tc>
        <w:tc>
          <w:tcPr>
            <w:tcW w:w="1096" w:type="pct"/>
            <w:tcBorders>
              <w:top w:val="single" w:sz="8" w:space="0" w:color="000000" w:themeColor="text1"/>
            </w:tcBorders>
          </w:tcPr>
          <w:p w14:paraId="2B578382" w14:textId="77777777" w:rsidR="00312E86" w:rsidRPr="00BD5748" w:rsidRDefault="00312E86" w:rsidP="004D2B2A">
            <w:pPr>
              <w:spacing w:before="100" w:after="100" w:line="240" w:lineRule="auto"/>
              <w:rPr>
                <w:sz w:val="20"/>
                <w:szCs w:val="20"/>
              </w:rPr>
            </w:pPr>
          </w:p>
        </w:tc>
        <w:tc>
          <w:tcPr>
            <w:tcW w:w="1101" w:type="pct"/>
            <w:tcBorders>
              <w:top w:val="single" w:sz="8" w:space="0" w:color="000000" w:themeColor="text1"/>
            </w:tcBorders>
          </w:tcPr>
          <w:p w14:paraId="575CCC38" w14:textId="77777777" w:rsidR="00312E86" w:rsidRPr="00BD5748" w:rsidRDefault="00312E86" w:rsidP="004D2B2A">
            <w:pPr>
              <w:spacing w:before="100" w:after="100" w:line="240" w:lineRule="auto"/>
              <w:rPr>
                <w:sz w:val="20"/>
                <w:szCs w:val="20"/>
              </w:rPr>
            </w:pPr>
          </w:p>
        </w:tc>
      </w:tr>
      <w:tr w:rsidR="00312E86" w:rsidRPr="00BD5748" w14:paraId="7D5C4E4C" w14:textId="77777777" w:rsidTr="00A63771">
        <w:tc>
          <w:tcPr>
            <w:tcW w:w="1013" w:type="pct"/>
          </w:tcPr>
          <w:p w14:paraId="6ADBA7B0" w14:textId="77777777" w:rsidR="00312E86" w:rsidRPr="00BD5748" w:rsidRDefault="00312E86" w:rsidP="004D2B2A">
            <w:pPr>
              <w:spacing w:before="100" w:after="100" w:line="240" w:lineRule="auto"/>
              <w:rPr>
                <w:sz w:val="20"/>
                <w:szCs w:val="20"/>
              </w:rPr>
            </w:pPr>
          </w:p>
        </w:tc>
        <w:tc>
          <w:tcPr>
            <w:tcW w:w="1790" w:type="pct"/>
          </w:tcPr>
          <w:p w14:paraId="07BCF9C3" w14:textId="77777777" w:rsidR="00312E86" w:rsidRPr="00BD5748" w:rsidRDefault="00312E86" w:rsidP="004D2B2A">
            <w:pPr>
              <w:spacing w:before="100" w:after="100" w:line="240" w:lineRule="auto"/>
              <w:rPr>
                <w:sz w:val="20"/>
                <w:szCs w:val="20"/>
              </w:rPr>
            </w:pPr>
          </w:p>
        </w:tc>
        <w:tc>
          <w:tcPr>
            <w:tcW w:w="1096" w:type="pct"/>
          </w:tcPr>
          <w:p w14:paraId="77C653D3" w14:textId="77777777" w:rsidR="00312E86" w:rsidRPr="00BD5748" w:rsidRDefault="00312E86" w:rsidP="004D2B2A">
            <w:pPr>
              <w:spacing w:before="100" w:after="100" w:line="240" w:lineRule="auto"/>
              <w:rPr>
                <w:sz w:val="20"/>
                <w:szCs w:val="20"/>
              </w:rPr>
            </w:pPr>
          </w:p>
        </w:tc>
        <w:tc>
          <w:tcPr>
            <w:tcW w:w="1101" w:type="pct"/>
          </w:tcPr>
          <w:p w14:paraId="0E8AC961" w14:textId="77777777" w:rsidR="00312E86" w:rsidRPr="00BD5748" w:rsidRDefault="00312E86" w:rsidP="004D2B2A">
            <w:pPr>
              <w:spacing w:before="100" w:after="100" w:line="240" w:lineRule="auto"/>
              <w:rPr>
                <w:sz w:val="20"/>
                <w:szCs w:val="20"/>
              </w:rPr>
            </w:pPr>
          </w:p>
        </w:tc>
      </w:tr>
    </w:tbl>
    <w:p w14:paraId="5934C56D" w14:textId="77777777" w:rsidR="00312E86" w:rsidRPr="00B36199" w:rsidRDefault="00312E86" w:rsidP="004D2B2A">
      <w:pPr>
        <w:spacing w:before="100" w:after="100" w:line="240" w:lineRule="auto"/>
        <w:jc w:val="both"/>
        <w:rPr>
          <w:rFonts w:asciiTheme="minorHAnsi" w:hAnsiTheme="minorHAnsi" w:cstheme="minorHAnsi"/>
          <w:sz w:val="22"/>
        </w:rPr>
      </w:pPr>
    </w:p>
    <w:p w14:paraId="5886BE56" w14:textId="77777777" w:rsidR="00312E86" w:rsidRPr="00516674" w:rsidRDefault="00312E86" w:rsidP="004D2B2A">
      <w:pPr>
        <w:pStyle w:val="ListParagraph"/>
        <w:spacing w:before="100" w:after="100" w:line="240" w:lineRule="auto"/>
        <w:rPr>
          <w:sz w:val="22"/>
        </w:rPr>
      </w:pPr>
    </w:p>
    <w:p w14:paraId="2CAD2433" w14:textId="77777777" w:rsidR="00312E86" w:rsidRPr="00E81AC0" w:rsidRDefault="00312E86" w:rsidP="004D2B2A">
      <w:pPr>
        <w:spacing w:before="100" w:after="100" w:line="240" w:lineRule="auto"/>
      </w:pPr>
    </w:p>
    <w:sectPr w:rsidR="00312E86" w:rsidRPr="00E81AC0" w:rsidSect="004D2B2A">
      <w:headerReference w:type="even" r:id="rId22"/>
      <w:headerReference w:type="default" r:id="rId23"/>
      <w:footerReference w:type="even" r:id="rId24"/>
      <w:footerReference w:type="default" r:id="rId25"/>
      <w:headerReference w:type="first" r:id="rId26"/>
      <w:footerReference w:type="first" r:id="rId27"/>
      <w:endnotePr>
        <w:numFmt w:val="chicago"/>
      </w:endnotePr>
      <w:pgSz w:w="11906" w:h="16838" w:code="9"/>
      <w:pgMar w:top="850" w:right="1296" w:bottom="864" w:left="85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50ED9" w14:textId="77777777" w:rsidR="0090447D" w:rsidRDefault="0090447D" w:rsidP="0013691B">
      <w:pPr>
        <w:spacing w:after="0" w:line="240" w:lineRule="auto"/>
      </w:pPr>
      <w:r>
        <w:separator/>
      </w:r>
    </w:p>
  </w:endnote>
  <w:endnote w:type="continuationSeparator" w:id="0">
    <w:p w14:paraId="689A44E5" w14:textId="77777777" w:rsidR="0090447D" w:rsidRDefault="0090447D"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451B" w14:textId="77777777" w:rsidR="00711BFA" w:rsidRDefault="0071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71BFBC2F" w14:textId="77777777" w:rsidTr="00F602C6">
      <w:trPr>
        <w:trHeight w:val="283"/>
      </w:trPr>
      <w:tc>
        <w:tcPr>
          <w:tcW w:w="10204" w:type="dxa"/>
          <w:gridSpan w:val="2"/>
          <w:tcBorders>
            <w:top w:val="single" w:sz="4" w:space="0" w:color="auto"/>
          </w:tcBorders>
          <w:vAlign w:val="bottom"/>
        </w:tcPr>
        <w:p w14:paraId="390E3979" w14:textId="77777777" w:rsidR="004C6793" w:rsidRPr="008F46F0" w:rsidRDefault="004C6793" w:rsidP="00F602C6">
          <w:pPr>
            <w:pStyle w:val="PageNo"/>
          </w:pPr>
          <w:bookmarkStart w:id="0" w:name="_Hlk73008952"/>
        </w:p>
      </w:tc>
    </w:tr>
    <w:tr w:rsidR="004C6793" w14:paraId="0E846E26" w14:textId="77777777" w:rsidTr="00F602C6">
      <w:sdt>
        <w:sdtPr>
          <w:alias w:val="Form.DocLang.Logo_horizontal"/>
          <w:tag w:val="{&quot;templafy&quot;:{&quot;id&quot;:&quot;65a33565-c6dd-4660-a121-d9f1e7e26adc&quot;}}"/>
          <w:id w:val="1796407923"/>
          <w:picture/>
        </w:sdtPr>
        <w:sdtEndPr/>
        <w:sdtContent>
          <w:tc>
            <w:tcPr>
              <w:tcW w:w="5102" w:type="dxa"/>
              <w:vAlign w:val="bottom"/>
            </w:tcPr>
            <w:p w14:paraId="63A3401F" w14:textId="77777777" w:rsidR="004C6793" w:rsidRDefault="0028306D" w:rsidP="00F602C6">
              <w:pPr>
                <w:pStyle w:val="Footer"/>
              </w:pPr>
              <w:r>
                <w:rPr>
                  <w:noProof/>
                </w:rPr>
                <w:drawing>
                  <wp:inline distT="0" distB="0" distL="0" distR="0" wp14:anchorId="3205E894" wp14:editId="27B84916">
                    <wp:extent cx="1643532" cy="152280"/>
                    <wp:effectExtent l="0" t="0" r="0" b="635"/>
                    <wp:docPr id="3034275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4275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532" cy="152280"/>
                            </a:xfrm>
                            <a:prstGeom prst="rect">
                              <a:avLst/>
                            </a:prstGeom>
                            <a:noFill/>
                            <a:ln>
                              <a:noFill/>
                            </a:ln>
                          </pic:spPr>
                        </pic:pic>
                      </a:graphicData>
                    </a:graphic>
                  </wp:inline>
                </w:drawing>
              </w:r>
            </w:p>
          </w:tc>
        </w:sdtContent>
      </w:sdt>
      <w:tc>
        <w:tcPr>
          <w:tcW w:w="5102" w:type="dxa"/>
          <w:vAlign w:val="bottom"/>
        </w:tcPr>
        <w:p w14:paraId="08DFD894"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6BA0CC0C" w14:textId="77777777" w:rsidTr="00F602C6">
      <w:trPr>
        <w:trHeight w:val="454"/>
      </w:trPr>
      <w:tc>
        <w:tcPr>
          <w:tcW w:w="10204" w:type="dxa"/>
          <w:gridSpan w:val="2"/>
          <w:vAlign w:val="bottom"/>
        </w:tcPr>
        <w:p w14:paraId="09826D1E" w14:textId="77777777" w:rsidR="00F602C6" w:rsidRPr="00955A75" w:rsidRDefault="00F602C6" w:rsidP="00F602C6">
          <w:pPr>
            <w:pStyle w:val="Footer"/>
            <w:rPr>
              <w:sz w:val="14"/>
              <w:szCs w:val="14"/>
            </w:rPr>
          </w:pPr>
        </w:p>
      </w:tc>
    </w:tr>
    <w:bookmarkEnd w:id="0"/>
  </w:tbl>
  <w:p w14:paraId="12C0D263"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7CCDDC10" w14:textId="77777777" w:rsidTr="000E3465">
      <w:trPr>
        <w:trHeight w:val="283"/>
      </w:trPr>
      <w:tc>
        <w:tcPr>
          <w:tcW w:w="10204" w:type="dxa"/>
          <w:gridSpan w:val="2"/>
          <w:tcBorders>
            <w:top w:val="single" w:sz="4" w:space="0" w:color="auto"/>
          </w:tcBorders>
          <w:vAlign w:val="bottom"/>
        </w:tcPr>
        <w:p w14:paraId="674C7FC0" w14:textId="77777777" w:rsidR="00026D48" w:rsidRPr="008F46F0" w:rsidRDefault="00026D48" w:rsidP="00026D48">
          <w:pPr>
            <w:pStyle w:val="PageNo"/>
          </w:pPr>
        </w:p>
      </w:tc>
    </w:tr>
    <w:tr w:rsidR="00026D48" w14:paraId="5E0D453B" w14:textId="77777777" w:rsidTr="000E3465">
      <w:sdt>
        <w:sdtPr>
          <w:alias w:val="Form.DocLang.Logo_horizontal"/>
          <w:tag w:val="{&quot;templafy&quot;:{&quot;id&quot;:&quot;8fdbaa76-593d-4759-8b7c-2f24c75c6488&quot;}}"/>
          <w:id w:val="-739715887"/>
          <w:picture/>
        </w:sdtPr>
        <w:sdtEndPr/>
        <w:sdtContent>
          <w:tc>
            <w:tcPr>
              <w:tcW w:w="5102" w:type="dxa"/>
              <w:vAlign w:val="bottom"/>
            </w:tcPr>
            <w:p w14:paraId="00804090" w14:textId="77777777" w:rsidR="00026D48" w:rsidRDefault="0028306D" w:rsidP="00026D48">
              <w:pPr>
                <w:pStyle w:val="Footer"/>
              </w:pPr>
              <w:r>
                <w:rPr>
                  <w:noProof/>
                </w:rPr>
                <w:drawing>
                  <wp:inline distT="0" distB="0" distL="0" distR="0" wp14:anchorId="5CC99FFC" wp14:editId="3E0B7823">
                    <wp:extent cx="1643532" cy="152280"/>
                    <wp:effectExtent l="0" t="0" r="0" b="635"/>
                    <wp:docPr id="87862387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862387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532" cy="152280"/>
                            </a:xfrm>
                            <a:prstGeom prst="rect">
                              <a:avLst/>
                            </a:prstGeom>
                            <a:noFill/>
                            <a:ln>
                              <a:noFill/>
                            </a:ln>
                          </pic:spPr>
                        </pic:pic>
                      </a:graphicData>
                    </a:graphic>
                  </wp:inline>
                </w:drawing>
              </w:r>
            </w:p>
          </w:tc>
        </w:sdtContent>
      </w:sdt>
      <w:tc>
        <w:tcPr>
          <w:tcW w:w="5102" w:type="dxa"/>
          <w:vAlign w:val="bottom"/>
        </w:tcPr>
        <w:p w14:paraId="53397368"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4C83479B" w14:textId="77777777" w:rsidTr="000E3465">
      <w:trPr>
        <w:trHeight w:val="454"/>
      </w:trPr>
      <w:tc>
        <w:tcPr>
          <w:tcW w:w="10204" w:type="dxa"/>
          <w:gridSpan w:val="2"/>
          <w:vAlign w:val="bottom"/>
        </w:tcPr>
        <w:p w14:paraId="3E25D5AE" w14:textId="77777777" w:rsidR="00026D48" w:rsidRPr="00955A75" w:rsidRDefault="00026D48" w:rsidP="00026D48">
          <w:pPr>
            <w:pStyle w:val="Footer"/>
            <w:rPr>
              <w:sz w:val="14"/>
              <w:szCs w:val="14"/>
            </w:rPr>
          </w:pPr>
        </w:p>
      </w:tc>
    </w:tr>
  </w:tbl>
  <w:p w14:paraId="635EE584"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0F5A9" w14:textId="77777777" w:rsidR="0090447D" w:rsidRDefault="0090447D" w:rsidP="0013691B">
      <w:pPr>
        <w:spacing w:after="0" w:line="240" w:lineRule="auto"/>
      </w:pPr>
      <w:r>
        <w:separator/>
      </w:r>
    </w:p>
  </w:footnote>
  <w:footnote w:type="continuationSeparator" w:id="0">
    <w:p w14:paraId="3D1090CB" w14:textId="77777777" w:rsidR="0090447D" w:rsidRDefault="0090447D"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E555" w14:textId="77777777" w:rsidR="00711BFA" w:rsidRDefault="0071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44D6" w14:textId="77777777" w:rsidR="00711BFA" w:rsidRDefault="00711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77"/>
    </w:tblGrid>
    <w:tr w:rsidR="00885674" w14:paraId="765BF448" w14:textId="77777777" w:rsidTr="007E5B22">
      <w:trPr>
        <w:trHeight w:val="454"/>
      </w:trPr>
      <w:sdt>
        <w:sdtPr>
          <w:alias w:val="Form.DocLang.Logo_stacked_colour"/>
          <w:tag w:val="{&quot;templafy&quot;:{&quot;id&quot;:&quot;a04fae4c-0079-4c07-b58e-ae011da3df96&quot;}}"/>
          <w:id w:val="471336006"/>
          <w:lock w:val="contentLocked"/>
          <w:picture/>
        </w:sdtPr>
        <w:sdtEndPr/>
        <w:sdtContent>
          <w:tc>
            <w:tcPr>
              <w:tcW w:w="2268" w:type="dxa"/>
              <w:tcBorders>
                <w:top w:val="nil"/>
                <w:left w:val="nil"/>
                <w:bottom w:val="nil"/>
                <w:right w:val="nil"/>
              </w:tcBorders>
            </w:tcPr>
            <w:p w14:paraId="4D05E62C" w14:textId="77777777" w:rsidR="00885674" w:rsidRDefault="00885674" w:rsidP="00885674">
              <w:pPr>
                <w:pStyle w:val="Header"/>
              </w:pPr>
              <w:r>
                <w:rPr>
                  <w:noProof/>
                </w:rPr>
                <w:drawing>
                  <wp:inline distT="0" distB="0" distL="0" distR="0" wp14:anchorId="63D8AA3B" wp14:editId="0A078017">
                    <wp:extent cx="1437770" cy="493200"/>
                    <wp:effectExtent l="0" t="0" r="8255" b="2540"/>
                    <wp:docPr id="969682578"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82578" name="Picture 1"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770" cy="493200"/>
                            </a:xfrm>
                            <a:prstGeom prst="rect">
                              <a:avLst/>
                            </a:prstGeom>
                            <a:noFill/>
                            <a:ln>
                              <a:noFill/>
                            </a:ln>
                          </pic:spPr>
                        </pic:pic>
                      </a:graphicData>
                    </a:graphic>
                  </wp:inline>
                </w:drawing>
              </w:r>
            </w:p>
          </w:tc>
        </w:sdtContent>
      </w:sdt>
    </w:tr>
  </w:tbl>
  <w:p w14:paraId="40B7673E" w14:textId="77777777" w:rsidR="00026D48" w:rsidRDefault="00026D48">
    <w:pPr>
      <w:pStyle w:val="Header"/>
    </w:pPr>
  </w:p>
  <w:p w14:paraId="57007D61" w14:textId="77777777" w:rsidR="00885674" w:rsidRDefault="00885674">
    <w:pPr>
      <w:pStyle w:val="Header"/>
    </w:pPr>
  </w:p>
  <w:p w14:paraId="48D6D37F"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6354245"/>
    <w:multiLevelType w:val="hybridMultilevel"/>
    <w:tmpl w:val="1D244B2C"/>
    <w:lvl w:ilvl="0" w:tplc="2466E860">
      <w:start w:val="1"/>
      <w:numFmt w:val="lowerRoman"/>
      <w:lvlText w:val="(%1)"/>
      <w:lvlJc w:val="righ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4D6505"/>
    <w:multiLevelType w:val="hybridMultilevel"/>
    <w:tmpl w:val="AA2E4224"/>
    <w:lvl w:ilvl="0" w:tplc="04090019">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C0311F5"/>
    <w:multiLevelType w:val="hybridMultilevel"/>
    <w:tmpl w:val="B6C2CB80"/>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F7A6D4E"/>
    <w:multiLevelType w:val="multilevel"/>
    <w:tmpl w:val="17A0D06E"/>
    <w:numStyleLink w:val="NumbListAlpha"/>
  </w:abstractNum>
  <w:abstractNum w:abstractNumId="15"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6FC72DE"/>
    <w:multiLevelType w:val="hybridMultilevel"/>
    <w:tmpl w:val="A96E7F34"/>
    <w:lvl w:ilvl="0" w:tplc="4CD044C6">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E031F53"/>
    <w:multiLevelType w:val="hybridMultilevel"/>
    <w:tmpl w:val="D1986B8C"/>
    <w:lvl w:ilvl="0" w:tplc="34EEDED8">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A53CFA"/>
    <w:multiLevelType w:val="hybridMultilevel"/>
    <w:tmpl w:val="83A28418"/>
    <w:lvl w:ilvl="0" w:tplc="1A4A0882">
      <w:start w:val="1"/>
      <w:numFmt w:val="lowerRoman"/>
      <w:lvlText w:val="(%1)"/>
      <w:lvlJc w:val="righ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1" w15:restartNumberingAfterBreak="0">
    <w:nsid w:val="2B871D43"/>
    <w:multiLevelType w:val="hybridMultilevel"/>
    <w:tmpl w:val="F7A2A4BE"/>
    <w:lvl w:ilvl="0" w:tplc="04090019">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3B05A1"/>
    <w:multiLevelType w:val="hybridMultilevel"/>
    <w:tmpl w:val="6972C3D8"/>
    <w:lvl w:ilvl="0" w:tplc="04090005">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A4754D"/>
    <w:multiLevelType w:val="hybridMultilevel"/>
    <w:tmpl w:val="9D7ADD62"/>
    <w:lvl w:ilvl="0" w:tplc="C5248B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6" w15:restartNumberingAfterBreak="0">
    <w:nsid w:val="4B0253C1"/>
    <w:multiLevelType w:val="hybridMultilevel"/>
    <w:tmpl w:val="C7A6A0FA"/>
    <w:lvl w:ilvl="0" w:tplc="04090019">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4C714575"/>
    <w:multiLevelType w:val="hybridMultilevel"/>
    <w:tmpl w:val="A1D04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AA3A83"/>
    <w:multiLevelType w:val="hybridMultilevel"/>
    <w:tmpl w:val="EDA2F45E"/>
    <w:lvl w:ilvl="0" w:tplc="DE5AE1F0">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4EAC7247"/>
    <w:multiLevelType w:val="multilevel"/>
    <w:tmpl w:val="6926581A"/>
    <w:numStyleLink w:val="ArticleSection"/>
  </w:abstractNum>
  <w:abstractNum w:abstractNumId="30" w15:restartNumberingAfterBreak="0">
    <w:nsid w:val="51D82F17"/>
    <w:multiLevelType w:val="hybridMultilevel"/>
    <w:tmpl w:val="C3620E68"/>
    <w:lvl w:ilvl="0" w:tplc="2724F3E2">
      <w:start w:val="1"/>
      <w:numFmt w:val="lowerRoman"/>
      <w:lvlText w:val="(%1)"/>
      <w:lvlJc w:val="left"/>
      <w:pPr>
        <w:ind w:left="720" w:hanging="360"/>
      </w:pPr>
    </w:lvl>
    <w:lvl w:ilvl="1" w:tplc="BBF40B30">
      <w:start w:val="1"/>
      <w:numFmt w:val="lowerLetter"/>
      <w:lvlText w:val="%2."/>
      <w:lvlJc w:val="left"/>
      <w:pPr>
        <w:ind w:left="1440" w:hanging="360"/>
      </w:pPr>
    </w:lvl>
    <w:lvl w:ilvl="2" w:tplc="8098E244">
      <w:start w:val="1"/>
      <w:numFmt w:val="lowerRoman"/>
      <w:lvlText w:val="%3."/>
      <w:lvlJc w:val="right"/>
      <w:pPr>
        <w:ind w:left="2160" w:hanging="180"/>
      </w:pPr>
    </w:lvl>
    <w:lvl w:ilvl="3" w:tplc="E26E1F02">
      <w:start w:val="1"/>
      <w:numFmt w:val="decimal"/>
      <w:lvlText w:val="%4."/>
      <w:lvlJc w:val="left"/>
      <w:pPr>
        <w:ind w:left="2880" w:hanging="360"/>
      </w:pPr>
    </w:lvl>
    <w:lvl w:ilvl="4" w:tplc="F2A8D07E">
      <w:start w:val="1"/>
      <w:numFmt w:val="lowerLetter"/>
      <w:lvlText w:val="%5."/>
      <w:lvlJc w:val="left"/>
      <w:pPr>
        <w:ind w:left="3600" w:hanging="360"/>
      </w:pPr>
    </w:lvl>
    <w:lvl w:ilvl="5" w:tplc="13062540">
      <w:start w:val="1"/>
      <w:numFmt w:val="lowerRoman"/>
      <w:lvlText w:val="%6."/>
      <w:lvlJc w:val="right"/>
      <w:pPr>
        <w:ind w:left="4320" w:hanging="180"/>
      </w:pPr>
    </w:lvl>
    <w:lvl w:ilvl="6" w:tplc="7D7A42BA">
      <w:start w:val="1"/>
      <w:numFmt w:val="decimal"/>
      <w:lvlText w:val="%7."/>
      <w:lvlJc w:val="left"/>
      <w:pPr>
        <w:ind w:left="5040" w:hanging="360"/>
      </w:pPr>
    </w:lvl>
    <w:lvl w:ilvl="7" w:tplc="2422A160">
      <w:start w:val="1"/>
      <w:numFmt w:val="lowerLetter"/>
      <w:lvlText w:val="%8."/>
      <w:lvlJc w:val="left"/>
      <w:pPr>
        <w:ind w:left="5760" w:hanging="360"/>
      </w:pPr>
    </w:lvl>
    <w:lvl w:ilvl="8" w:tplc="7AE6637A">
      <w:start w:val="1"/>
      <w:numFmt w:val="lowerRoman"/>
      <w:lvlText w:val="%9."/>
      <w:lvlJc w:val="right"/>
      <w:pPr>
        <w:ind w:left="6480" w:hanging="180"/>
      </w:pPr>
    </w:lvl>
  </w:abstractNum>
  <w:abstractNum w:abstractNumId="31"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3" w15:restartNumberingAfterBreak="0">
    <w:nsid w:val="5B0F0960"/>
    <w:multiLevelType w:val="hybridMultilevel"/>
    <w:tmpl w:val="CB028994"/>
    <w:lvl w:ilvl="0" w:tplc="2466E860">
      <w:start w:val="1"/>
      <w:numFmt w:val="lowerRoman"/>
      <w:lvlText w:val="(%1)"/>
      <w:lvlJc w:val="righ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F75830"/>
    <w:multiLevelType w:val="hybridMultilevel"/>
    <w:tmpl w:val="C8B8BE50"/>
    <w:lvl w:ilvl="0" w:tplc="2466E860">
      <w:start w:val="1"/>
      <w:numFmt w:val="lowerRoman"/>
      <w:lvlText w:val="(%1)"/>
      <w:lvlJc w:val="righ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1C436E7"/>
    <w:multiLevelType w:val="hybridMultilevel"/>
    <w:tmpl w:val="2F4E38F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5691219"/>
    <w:multiLevelType w:val="hybridMultilevel"/>
    <w:tmpl w:val="F17A92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E16A38"/>
    <w:multiLevelType w:val="hybridMultilevel"/>
    <w:tmpl w:val="A336B638"/>
    <w:lvl w:ilvl="0" w:tplc="0CF2ED74">
      <w:start w:val="1"/>
      <w:numFmt w:val="lowerRoman"/>
      <w:lvlText w:val="(%1)"/>
      <w:lvlJc w:val="right"/>
      <w:pPr>
        <w:ind w:left="720" w:hanging="360"/>
      </w:pPr>
      <w:rPr>
        <w:rFonts w:asciiTheme="minorHAnsi" w:eastAsiaTheme="minorHAns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DD36AD"/>
    <w:multiLevelType w:val="hybridMultilevel"/>
    <w:tmpl w:val="A63E1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247412">
    <w:abstractNumId w:val="14"/>
  </w:num>
  <w:num w:numId="2" w16cid:durableId="1647079291">
    <w:abstractNumId w:val="20"/>
  </w:num>
  <w:num w:numId="3" w16cid:durableId="754279829">
    <w:abstractNumId w:val="22"/>
  </w:num>
  <w:num w:numId="4" w16cid:durableId="1974361704">
    <w:abstractNumId w:val="34"/>
  </w:num>
  <w:num w:numId="5" w16cid:durableId="54664950">
    <w:abstractNumId w:val="15"/>
  </w:num>
  <w:num w:numId="6" w16cid:durableId="533005447">
    <w:abstractNumId w:val="31"/>
  </w:num>
  <w:num w:numId="7" w16cid:durableId="999499182">
    <w:abstractNumId w:val="36"/>
  </w:num>
  <w:num w:numId="8" w16cid:durableId="2037581708">
    <w:abstractNumId w:val="37"/>
  </w:num>
  <w:num w:numId="9" w16cid:durableId="1384252988">
    <w:abstractNumId w:val="32"/>
  </w:num>
  <w:num w:numId="10" w16cid:durableId="559024566">
    <w:abstractNumId w:val="9"/>
  </w:num>
  <w:num w:numId="11" w16cid:durableId="1018700670">
    <w:abstractNumId w:val="7"/>
  </w:num>
  <w:num w:numId="12" w16cid:durableId="1830049863">
    <w:abstractNumId w:val="6"/>
  </w:num>
  <w:num w:numId="13" w16cid:durableId="798570829">
    <w:abstractNumId w:val="5"/>
  </w:num>
  <w:num w:numId="14" w16cid:durableId="291130875">
    <w:abstractNumId w:val="4"/>
  </w:num>
  <w:num w:numId="15" w16cid:durableId="1807507589">
    <w:abstractNumId w:val="8"/>
  </w:num>
  <w:num w:numId="16" w16cid:durableId="1784156587">
    <w:abstractNumId w:val="3"/>
  </w:num>
  <w:num w:numId="17" w16cid:durableId="1224752065">
    <w:abstractNumId w:val="2"/>
  </w:num>
  <w:num w:numId="18" w16cid:durableId="1078289338">
    <w:abstractNumId w:val="1"/>
  </w:num>
  <w:num w:numId="19" w16cid:durableId="911282527">
    <w:abstractNumId w:val="0"/>
  </w:num>
  <w:num w:numId="20" w16cid:durableId="764106536">
    <w:abstractNumId w:val="25"/>
  </w:num>
  <w:num w:numId="21" w16cid:durableId="1964460344">
    <w:abstractNumId w:val="10"/>
  </w:num>
  <w:num w:numId="22" w16cid:durableId="1989704918">
    <w:abstractNumId w:val="18"/>
  </w:num>
  <w:num w:numId="23" w16cid:durableId="2121876648">
    <w:abstractNumId w:val="29"/>
  </w:num>
  <w:num w:numId="24" w16cid:durableId="633755102">
    <w:abstractNumId w:val="30"/>
  </w:num>
  <w:num w:numId="25" w16cid:durableId="2110730951">
    <w:abstractNumId w:val="23"/>
  </w:num>
  <w:num w:numId="26" w16cid:durableId="2067796679">
    <w:abstractNumId w:val="38"/>
  </w:num>
  <w:num w:numId="27" w16cid:durableId="872618559">
    <w:abstractNumId w:val="17"/>
  </w:num>
  <w:num w:numId="28" w16cid:durableId="1931625257">
    <w:abstractNumId w:val="27"/>
  </w:num>
  <w:num w:numId="29" w16cid:durableId="1565797143">
    <w:abstractNumId w:val="24"/>
  </w:num>
  <w:num w:numId="30" w16cid:durableId="1012218685">
    <w:abstractNumId w:val="33"/>
  </w:num>
  <w:num w:numId="31" w16cid:durableId="495610784">
    <w:abstractNumId w:val="19"/>
  </w:num>
  <w:num w:numId="32" w16cid:durableId="1445953356">
    <w:abstractNumId w:val="35"/>
  </w:num>
  <w:num w:numId="33" w16cid:durableId="1644847043">
    <w:abstractNumId w:val="11"/>
  </w:num>
  <w:num w:numId="34" w16cid:durableId="1270891577">
    <w:abstractNumId w:val="40"/>
  </w:num>
  <w:num w:numId="35" w16cid:durableId="1373581140">
    <w:abstractNumId w:val="39"/>
  </w:num>
  <w:num w:numId="36" w16cid:durableId="2080520648">
    <w:abstractNumId w:val="16"/>
  </w:num>
  <w:num w:numId="37" w16cid:durableId="1185943934">
    <w:abstractNumId w:val="12"/>
  </w:num>
  <w:num w:numId="38" w16cid:durableId="1003433939">
    <w:abstractNumId w:val="21"/>
  </w:num>
  <w:num w:numId="39" w16cid:durableId="673072691">
    <w:abstractNumId w:val="13"/>
  </w:num>
  <w:num w:numId="40" w16cid:durableId="2121487193">
    <w:abstractNumId w:val="28"/>
  </w:num>
  <w:num w:numId="41" w16cid:durableId="1600719761">
    <w:abstractNumId w:val="26"/>
  </w:num>
  <w:num w:numId="42" w16cid:durableId="246303361">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9E73B7"/>
    <w:rsid w:val="000010E9"/>
    <w:rsid w:val="000067AC"/>
    <w:rsid w:val="00010133"/>
    <w:rsid w:val="000213D5"/>
    <w:rsid w:val="000226A7"/>
    <w:rsid w:val="00024539"/>
    <w:rsid w:val="00024DFE"/>
    <w:rsid w:val="00026B43"/>
    <w:rsid w:val="00026D48"/>
    <w:rsid w:val="00027BEC"/>
    <w:rsid w:val="00027D89"/>
    <w:rsid w:val="00031C81"/>
    <w:rsid w:val="00034984"/>
    <w:rsid w:val="00047C4F"/>
    <w:rsid w:val="00054E5F"/>
    <w:rsid w:val="00057F5E"/>
    <w:rsid w:val="00072DA3"/>
    <w:rsid w:val="00084D59"/>
    <w:rsid w:val="000A4772"/>
    <w:rsid w:val="000C3131"/>
    <w:rsid w:val="000C377B"/>
    <w:rsid w:val="000C647F"/>
    <w:rsid w:val="000C75B9"/>
    <w:rsid w:val="000D52FA"/>
    <w:rsid w:val="000E09C9"/>
    <w:rsid w:val="000F5BD5"/>
    <w:rsid w:val="001100A4"/>
    <w:rsid w:val="00110820"/>
    <w:rsid w:val="00122DF8"/>
    <w:rsid w:val="00122EDB"/>
    <w:rsid w:val="00133325"/>
    <w:rsid w:val="0013691B"/>
    <w:rsid w:val="00151409"/>
    <w:rsid w:val="001540E2"/>
    <w:rsid w:val="00171C99"/>
    <w:rsid w:val="00184F66"/>
    <w:rsid w:val="00192CF9"/>
    <w:rsid w:val="00197AE7"/>
    <w:rsid w:val="001C3DD1"/>
    <w:rsid w:val="001D775A"/>
    <w:rsid w:val="00234462"/>
    <w:rsid w:val="00235CA2"/>
    <w:rsid w:val="00236822"/>
    <w:rsid w:val="0024020E"/>
    <w:rsid w:val="00243835"/>
    <w:rsid w:val="0025351E"/>
    <w:rsid w:val="00254D2F"/>
    <w:rsid w:val="00266AEC"/>
    <w:rsid w:val="0027163F"/>
    <w:rsid w:val="0027457F"/>
    <w:rsid w:val="00276608"/>
    <w:rsid w:val="0028306D"/>
    <w:rsid w:val="00283BED"/>
    <w:rsid w:val="00284808"/>
    <w:rsid w:val="00286E46"/>
    <w:rsid w:val="00287480"/>
    <w:rsid w:val="00290462"/>
    <w:rsid w:val="002938CB"/>
    <w:rsid w:val="0029796C"/>
    <w:rsid w:val="002A4684"/>
    <w:rsid w:val="002A5B89"/>
    <w:rsid w:val="002A72DB"/>
    <w:rsid w:val="002A7635"/>
    <w:rsid w:val="002B07E9"/>
    <w:rsid w:val="002B0F35"/>
    <w:rsid w:val="002C2D2B"/>
    <w:rsid w:val="002C2DAC"/>
    <w:rsid w:val="002C35FE"/>
    <w:rsid w:val="002C3CEB"/>
    <w:rsid w:val="002D2993"/>
    <w:rsid w:val="002D5812"/>
    <w:rsid w:val="002F2F7C"/>
    <w:rsid w:val="00306EDD"/>
    <w:rsid w:val="00311BA4"/>
    <w:rsid w:val="00312E86"/>
    <w:rsid w:val="00314800"/>
    <w:rsid w:val="00331B24"/>
    <w:rsid w:val="00335220"/>
    <w:rsid w:val="00337AD3"/>
    <w:rsid w:val="00337EE0"/>
    <w:rsid w:val="0035573A"/>
    <w:rsid w:val="00362590"/>
    <w:rsid w:val="00364326"/>
    <w:rsid w:val="00375508"/>
    <w:rsid w:val="00381CC3"/>
    <w:rsid w:val="0038486D"/>
    <w:rsid w:val="00390806"/>
    <w:rsid w:val="003A0F8A"/>
    <w:rsid w:val="003A1311"/>
    <w:rsid w:val="003A5EB1"/>
    <w:rsid w:val="003B09C8"/>
    <w:rsid w:val="003B77D4"/>
    <w:rsid w:val="003C7881"/>
    <w:rsid w:val="003D0D26"/>
    <w:rsid w:val="003D70F4"/>
    <w:rsid w:val="003E60B5"/>
    <w:rsid w:val="003F11D5"/>
    <w:rsid w:val="003F167F"/>
    <w:rsid w:val="00401CED"/>
    <w:rsid w:val="00401ED6"/>
    <w:rsid w:val="00421004"/>
    <w:rsid w:val="00426FC0"/>
    <w:rsid w:val="004345DC"/>
    <w:rsid w:val="00437DC3"/>
    <w:rsid w:val="00441334"/>
    <w:rsid w:val="004431F4"/>
    <w:rsid w:val="004456B9"/>
    <w:rsid w:val="0044609B"/>
    <w:rsid w:val="00451CBE"/>
    <w:rsid w:val="004551D2"/>
    <w:rsid w:val="00464F55"/>
    <w:rsid w:val="00477290"/>
    <w:rsid w:val="004A7FC0"/>
    <w:rsid w:val="004B567E"/>
    <w:rsid w:val="004C6793"/>
    <w:rsid w:val="004D2B2A"/>
    <w:rsid w:val="004D4827"/>
    <w:rsid w:val="004E096D"/>
    <w:rsid w:val="004E70C4"/>
    <w:rsid w:val="004E7F24"/>
    <w:rsid w:val="005033BB"/>
    <w:rsid w:val="00530CF1"/>
    <w:rsid w:val="0053784E"/>
    <w:rsid w:val="00544F94"/>
    <w:rsid w:val="0055523F"/>
    <w:rsid w:val="00557654"/>
    <w:rsid w:val="005578E8"/>
    <w:rsid w:val="00557AC5"/>
    <w:rsid w:val="00560074"/>
    <w:rsid w:val="00560096"/>
    <w:rsid w:val="00560302"/>
    <w:rsid w:val="00560578"/>
    <w:rsid w:val="00562B3D"/>
    <w:rsid w:val="005659E0"/>
    <w:rsid w:val="00576254"/>
    <w:rsid w:val="0058313A"/>
    <w:rsid w:val="0058415B"/>
    <w:rsid w:val="005945F4"/>
    <w:rsid w:val="00596105"/>
    <w:rsid w:val="005A088F"/>
    <w:rsid w:val="005A6EC5"/>
    <w:rsid w:val="005A7DE2"/>
    <w:rsid w:val="005B03D1"/>
    <w:rsid w:val="005B64CA"/>
    <w:rsid w:val="005D02D2"/>
    <w:rsid w:val="005D5992"/>
    <w:rsid w:val="005E0753"/>
    <w:rsid w:val="005E0AB3"/>
    <w:rsid w:val="005F1396"/>
    <w:rsid w:val="005F6D34"/>
    <w:rsid w:val="00607164"/>
    <w:rsid w:val="00620D3C"/>
    <w:rsid w:val="00631314"/>
    <w:rsid w:val="0063467F"/>
    <w:rsid w:val="00644ADF"/>
    <w:rsid w:val="0064597B"/>
    <w:rsid w:val="006533BD"/>
    <w:rsid w:val="00667DF0"/>
    <w:rsid w:val="00673D5D"/>
    <w:rsid w:val="00675C66"/>
    <w:rsid w:val="00681ABF"/>
    <w:rsid w:val="00690F2D"/>
    <w:rsid w:val="006A627F"/>
    <w:rsid w:val="006C1138"/>
    <w:rsid w:val="006C1655"/>
    <w:rsid w:val="006C5364"/>
    <w:rsid w:val="006D48D5"/>
    <w:rsid w:val="006D61AC"/>
    <w:rsid w:val="006D65C9"/>
    <w:rsid w:val="006D7841"/>
    <w:rsid w:val="006D7EAB"/>
    <w:rsid w:val="006E0942"/>
    <w:rsid w:val="006E3D54"/>
    <w:rsid w:val="006E44DB"/>
    <w:rsid w:val="0070059B"/>
    <w:rsid w:val="00700608"/>
    <w:rsid w:val="007043C7"/>
    <w:rsid w:val="00710A12"/>
    <w:rsid w:val="00711BFA"/>
    <w:rsid w:val="00723FD2"/>
    <w:rsid w:val="007454A4"/>
    <w:rsid w:val="00746877"/>
    <w:rsid w:val="00750A2A"/>
    <w:rsid w:val="007524F5"/>
    <w:rsid w:val="0075707F"/>
    <w:rsid w:val="00757930"/>
    <w:rsid w:val="00760AF4"/>
    <w:rsid w:val="00777F70"/>
    <w:rsid w:val="007A184F"/>
    <w:rsid w:val="007A450B"/>
    <w:rsid w:val="007A59CE"/>
    <w:rsid w:val="007A5D57"/>
    <w:rsid w:val="007C2970"/>
    <w:rsid w:val="007E323F"/>
    <w:rsid w:val="007F0BD8"/>
    <w:rsid w:val="007F1274"/>
    <w:rsid w:val="007F6CC2"/>
    <w:rsid w:val="00805279"/>
    <w:rsid w:val="008129C4"/>
    <w:rsid w:val="0081704F"/>
    <w:rsid w:val="00822BAF"/>
    <w:rsid w:val="00822D0E"/>
    <w:rsid w:val="00823A34"/>
    <w:rsid w:val="008270AE"/>
    <w:rsid w:val="00835497"/>
    <w:rsid w:val="008409A3"/>
    <w:rsid w:val="00842C7E"/>
    <w:rsid w:val="008514B0"/>
    <w:rsid w:val="00851B9B"/>
    <w:rsid w:val="00865D6D"/>
    <w:rsid w:val="008664A6"/>
    <w:rsid w:val="00866542"/>
    <w:rsid w:val="0087476B"/>
    <w:rsid w:val="00885674"/>
    <w:rsid w:val="00892591"/>
    <w:rsid w:val="008B4CC6"/>
    <w:rsid w:val="008C0962"/>
    <w:rsid w:val="008D5732"/>
    <w:rsid w:val="008E37CF"/>
    <w:rsid w:val="008F0869"/>
    <w:rsid w:val="009026A1"/>
    <w:rsid w:val="0090447D"/>
    <w:rsid w:val="00906555"/>
    <w:rsid w:val="00910134"/>
    <w:rsid w:val="00910C10"/>
    <w:rsid w:val="009149F6"/>
    <w:rsid w:val="00914CE1"/>
    <w:rsid w:val="009203E3"/>
    <w:rsid w:val="0093555B"/>
    <w:rsid w:val="00940386"/>
    <w:rsid w:val="009550FD"/>
    <w:rsid w:val="00955A75"/>
    <w:rsid w:val="00957A4D"/>
    <w:rsid w:val="00957B41"/>
    <w:rsid w:val="009710A7"/>
    <w:rsid w:val="00985B1B"/>
    <w:rsid w:val="0098682A"/>
    <w:rsid w:val="009920F0"/>
    <w:rsid w:val="00997B89"/>
    <w:rsid w:val="009A28E5"/>
    <w:rsid w:val="009A38EF"/>
    <w:rsid w:val="009B5923"/>
    <w:rsid w:val="009C1CC3"/>
    <w:rsid w:val="009D1E7E"/>
    <w:rsid w:val="009E73B7"/>
    <w:rsid w:val="009E7A49"/>
    <w:rsid w:val="009F0C9D"/>
    <w:rsid w:val="009F1B70"/>
    <w:rsid w:val="009F1F7D"/>
    <w:rsid w:val="009F6A2F"/>
    <w:rsid w:val="00A10DAE"/>
    <w:rsid w:val="00A12678"/>
    <w:rsid w:val="00A130EE"/>
    <w:rsid w:val="00A137ED"/>
    <w:rsid w:val="00A13A2F"/>
    <w:rsid w:val="00A13C52"/>
    <w:rsid w:val="00A24EE3"/>
    <w:rsid w:val="00A3073A"/>
    <w:rsid w:val="00A33760"/>
    <w:rsid w:val="00A358D6"/>
    <w:rsid w:val="00A372CB"/>
    <w:rsid w:val="00A4115D"/>
    <w:rsid w:val="00A425D8"/>
    <w:rsid w:val="00A4492A"/>
    <w:rsid w:val="00A44996"/>
    <w:rsid w:val="00A47058"/>
    <w:rsid w:val="00A70C41"/>
    <w:rsid w:val="00A77789"/>
    <w:rsid w:val="00A77CCB"/>
    <w:rsid w:val="00A80BD5"/>
    <w:rsid w:val="00A95B4D"/>
    <w:rsid w:val="00AA1E00"/>
    <w:rsid w:val="00AA6133"/>
    <w:rsid w:val="00AD7D8D"/>
    <w:rsid w:val="00AE00F1"/>
    <w:rsid w:val="00AF2473"/>
    <w:rsid w:val="00B22944"/>
    <w:rsid w:val="00B25E0F"/>
    <w:rsid w:val="00B266D3"/>
    <w:rsid w:val="00B27189"/>
    <w:rsid w:val="00B44958"/>
    <w:rsid w:val="00B45357"/>
    <w:rsid w:val="00B501E9"/>
    <w:rsid w:val="00B57683"/>
    <w:rsid w:val="00B60A27"/>
    <w:rsid w:val="00B60E99"/>
    <w:rsid w:val="00B64FBE"/>
    <w:rsid w:val="00B677ED"/>
    <w:rsid w:val="00B87E2A"/>
    <w:rsid w:val="00BA0F29"/>
    <w:rsid w:val="00BA3D83"/>
    <w:rsid w:val="00BA4B58"/>
    <w:rsid w:val="00BB77C6"/>
    <w:rsid w:val="00BB782B"/>
    <w:rsid w:val="00BC19AC"/>
    <w:rsid w:val="00BC7B0F"/>
    <w:rsid w:val="00BD19BF"/>
    <w:rsid w:val="00BD6B50"/>
    <w:rsid w:val="00BD6E1D"/>
    <w:rsid w:val="00BE2F10"/>
    <w:rsid w:val="00C16BFB"/>
    <w:rsid w:val="00C16F89"/>
    <w:rsid w:val="00C17BE5"/>
    <w:rsid w:val="00C24EAA"/>
    <w:rsid w:val="00C25475"/>
    <w:rsid w:val="00C26026"/>
    <w:rsid w:val="00C334E8"/>
    <w:rsid w:val="00C42AE9"/>
    <w:rsid w:val="00C43326"/>
    <w:rsid w:val="00C440DA"/>
    <w:rsid w:val="00C47397"/>
    <w:rsid w:val="00C551FC"/>
    <w:rsid w:val="00C66623"/>
    <w:rsid w:val="00C73482"/>
    <w:rsid w:val="00C80B72"/>
    <w:rsid w:val="00CA1714"/>
    <w:rsid w:val="00CA5409"/>
    <w:rsid w:val="00CA5E21"/>
    <w:rsid w:val="00CB719F"/>
    <w:rsid w:val="00CC5931"/>
    <w:rsid w:val="00CC6A77"/>
    <w:rsid w:val="00CE0CB8"/>
    <w:rsid w:val="00CE665B"/>
    <w:rsid w:val="00D017D2"/>
    <w:rsid w:val="00D02C53"/>
    <w:rsid w:val="00D04729"/>
    <w:rsid w:val="00D06ADA"/>
    <w:rsid w:val="00D1315F"/>
    <w:rsid w:val="00D13EB8"/>
    <w:rsid w:val="00D21008"/>
    <w:rsid w:val="00D22067"/>
    <w:rsid w:val="00D24284"/>
    <w:rsid w:val="00D30BFB"/>
    <w:rsid w:val="00D42C6A"/>
    <w:rsid w:val="00D45112"/>
    <w:rsid w:val="00D528E8"/>
    <w:rsid w:val="00D55974"/>
    <w:rsid w:val="00D642CC"/>
    <w:rsid w:val="00D65403"/>
    <w:rsid w:val="00D66BDA"/>
    <w:rsid w:val="00D7259D"/>
    <w:rsid w:val="00D840CF"/>
    <w:rsid w:val="00D8465B"/>
    <w:rsid w:val="00D9100C"/>
    <w:rsid w:val="00D944D9"/>
    <w:rsid w:val="00D96E24"/>
    <w:rsid w:val="00DB4265"/>
    <w:rsid w:val="00DC14E1"/>
    <w:rsid w:val="00DC74C5"/>
    <w:rsid w:val="00DD1D6F"/>
    <w:rsid w:val="00DD617D"/>
    <w:rsid w:val="00DE0B02"/>
    <w:rsid w:val="00DF075F"/>
    <w:rsid w:val="00E03C4E"/>
    <w:rsid w:val="00E15857"/>
    <w:rsid w:val="00E17D58"/>
    <w:rsid w:val="00E36280"/>
    <w:rsid w:val="00E362B7"/>
    <w:rsid w:val="00E42F93"/>
    <w:rsid w:val="00E453E0"/>
    <w:rsid w:val="00E46296"/>
    <w:rsid w:val="00E64244"/>
    <w:rsid w:val="00E71D84"/>
    <w:rsid w:val="00E758AF"/>
    <w:rsid w:val="00E77AF7"/>
    <w:rsid w:val="00E81AC0"/>
    <w:rsid w:val="00E9119A"/>
    <w:rsid w:val="00EA1162"/>
    <w:rsid w:val="00EA1625"/>
    <w:rsid w:val="00EA2920"/>
    <w:rsid w:val="00EA6E13"/>
    <w:rsid w:val="00EA7458"/>
    <w:rsid w:val="00EB51A7"/>
    <w:rsid w:val="00EC0203"/>
    <w:rsid w:val="00EE2E56"/>
    <w:rsid w:val="00EF2929"/>
    <w:rsid w:val="00F1127F"/>
    <w:rsid w:val="00F21DC8"/>
    <w:rsid w:val="00F253A4"/>
    <w:rsid w:val="00F301BC"/>
    <w:rsid w:val="00F34650"/>
    <w:rsid w:val="00F34F88"/>
    <w:rsid w:val="00F46906"/>
    <w:rsid w:val="00F527CC"/>
    <w:rsid w:val="00F602C6"/>
    <w:rsid w:val="00F604FA"/>
    <w:rsid w:val="00F63C52"/>
    <w:rsid w:val="00F6756A"/>
    <w:rsid w:val="00F90F48"/>
    <w:rsid w:val="00FA257D"/>
    <w:rsid w:val="00FA3D5E"/>
    <w:rsid w:val="00FA4331"/>
    <w:rsid w:val="00FA4EE9"/>
    <w:rsid w:val="00FB00EB"/>
    <w:rsid w:val="00FB2518"/>
    <w:rsid w:val="00FB4D40"/>
    <w:rsid w:val="00FD1D2C"/>
    <w:rsid w:val="00FD3B47"/>
    <w:rsid w:val="00FD4536"/>
    <w:rsid w:val="00FD7D0C"/>
    <w:rsid w:val="00FE0035"/>
    <w:rsid w:val="00FE3DA8"/>
    <w:rsid w:val="00FE62D5"/>
    <w:rsid w:val="00FF1F3A"/>
    <w:rsid w:val="00FF2CD3"/>
    <w:rsid w:val="00FF57B2"/>
    <w:rsid w:val="00FF6F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A70F1"/>
  <w15:chartTrackingRefBased/>
  <w15:docId w15:val="{7FFA6E74-BFE9-449D-B2DF-EE45791C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5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aliases w:val="Numbered list,Bullet Points,Colorful List - Accent 11,Dot pt,F5 List Paragraph,Indicator Text,L,List Paragraph Char Char Char,List Paragraph1,List Paragraph2,MAIN CONTENT,No Spacing1,Numbered Para 1,OBC Bullet,Párrafo de lista,Paragraph,H"/>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character" w:customStyle="1" w:styleId="ListParagraphChar">
    <w:name w:val="List Paragraph Char"/>
    <w:aliases w:val="Numbered list Char,Bullet Points Char,Colorful List - Accent 11 Char,Dot pt Char,F5 List Paragraph Char,Indicator Text Char,L Char,List Paragraph Char Char Char Char,List Paragraph1 Char,List Paragraph2 Char,MAIN CONTENT Char,H Char"/>
    <w:basedOn w:val="DefaultParagraphFont"/>
    <w:link w:val="ListParagraph"/>
    <w:uiPriority w:val="34"/>
    <w:qFormat/>
    <w:rsid w:val="00312E86"/>
    <w:rPr>
      <w:sz w:val="24"/>
      <w:lang w:val="en-US"/>
    </w:rPr>
  </w:style>
  <w:style w:type="paragraph" w:styleId="Revision">
    <w:name w:val="Revision"/>
    <w:hidden/>
    <w:uiPriority w:val="99"/>
    <w:semiHidden/>
    <w:rsid w:val="00311BA4"/>
    <w:pPr>
      <w:spacing w:before="0"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theglobalfund.org/media/13803/cr_fixed-assets-management_guidelines_en.pdf" TargetMode="External"/><Relationship Id="rId18" Type="http://schemas.openxmlformats.org/officeDocument/2006/relationships/hyperlink" Target="https://resources.theglobalfund.org/media/13803/cr_fixed-assets-management_guidelines_en.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resources.theglobalfund.org/media/13803/cr_fixed-assets-management_guidelines_en.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resources.theglobalfund.org/media/13925/cr_grant_regulations_en.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resources.theglobalfund.org/media/13803/cr_fixed-assets-management_guidelines_en.pdf" TargetMode="External"/><Relationship Id="rId20" Type="http://schemas.openxmlformats.org/officeDocument/2006/relationships/hyperlink" Target="https://resources.theglobalfund.org/media/13996/cr_insurance-grants_guidelines_e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resources.theglobalfund.org/media/13996/cr_insurance-grants_guidelines_en.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resources.theglobalfund.org/media/13925/cr_grant_regulations_en.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ources.theglobalfund.org/media/13925/cr_grant_regulations_en.pdf"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ivanova\AppData\Local\Temp\Templafy\WordVsto\Standard%20logo%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distinct":true,"hideIfNoUserInteractionRequired":false,"required":true,"defaultValue":"{{UserProfile.Language.Name}}","autoSelectFirstOption":false,"helpTexts":{"prefix":"","postfix":""},"spacing":{},"shareValue":false,"type":"dropDown","dataSourceName":"Language","dataSourceFieldName":"Name","name":"DocLang","label":"Document Language"}],"formDataEntries":[{"name":"DocLang","value":"WkTS6mC53x5szA/EagX98vcQ4iGOuzWmGTQDOVE5Psk="}]}]]></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TemplafyTemplateConfiguration><![CDATA[{"elementsMetadata":[{"type":"pictureContentControl","id":"a04fae4c-0079-4c07-b58e-ae011da3df96","elementConfiguration":{"inheritDimensions":"{{InheritDimensions.InheritHeight}}","image":"{{Form.DocLang.Logo_stacked_colour.Image}}","removeAndKeepContent":false,"disableUpdates":false,"type":"image"}},{"type":"pictureContentControl","id":"8fdbaa76-593d-4759-8b7c-2f24c75c6488","elementConfiguration":{"inheritDimensions":"{{InheritDimensions.InheritHeight}}","image":"{{Form.DocLang.Logo_horizontal.Image}}","removeAndKeepContent":false,"disableUpdates":false,"type":"image"}},{"type":"pictureContentControl","id":"65a33565-c6dd-4660-a121-d9f1e7e26adc","elementConfiguration":{"inheritDimensions":"{{InheritDimensions.InheritHeight}}","image":"{{Form.DocLang.Logo_horizontal.Image}}","removeAndKeepContent":false,"disableUpdates":false,"type":"image"}}],"transformationConfigurations":[{"language":"{{Form.DocLang.Language.Language}}","disableUpdates":false,"type":"proofingLanguage"}],"templateName":"Standard logo template","templateDescription":"","enableDocumentContentUpdater":true,"version":"2.0"}]]></TemplafyTemplateConfiguration>
</file>

<file path=customXml/itemProps1.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4.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5.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7AE4FFB-B547-437A-A56E-613A8F346671}">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Standard logo template</Template>
  <TotalTime>1</TotalTime>
  <Pages>6</Pages>
  <Words>1623</Words>
  <Characters>9257</Characters>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2025-07-28T11:38:00Z</dcterms:created>
  <dcterms:modified xsi:type="dcterms:W3CDTF">2025-07-28T11:38:00Z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ContentTypeId">
    <vt:lpwstr>0x010100AE7BB0401969534BB561823CB4051602</vt:lpwstr>
  </property>
  <property fmtid="{D5CDD505-2E9C-101B-9397-08002B2CF9AE}" pid="4" name="TemplafyTenantId">
    <vt:lpwstr>theglobalfund</vt:lpwstr>
  </property>
  <property fmtid="{D5CDD505-2E9C-101B-9397-08002B2CF9AE}" pid="5" name="TemplafyTemplateId">
    <vt:lpwstr>747834895284043790</vt:lpwstr>
  </property>
  <property fmtid="{D5CDD505-2E9C-101B-9397-08002B2CF9AE}" pid="6" name="TemplafyUserProfileId">
    <vt:lpwstr>709319810680619008</vt:lpwstr>
  </property>
  <property fmtid="{D5CDD505-2E9C-101B-9397-08002B2CF9AE}" pid="7" name="TemplafyFromBlank">
    <vt:bool>false</vt:bool>
  </property>
</Properties>
</file>