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A0AF" w14:textId="7E10ADD7" w:rsidR="00DA6645" w:rsidRPr="001E72D4" w:rsidRDefault="00733C6F" w:rsidP="14FFC04A">
      <w:pPr>
        <w:jc w:val="center"/>
        <w:rPr>
          <w:rFonts w:asciiTheme="majorHAnsi" w:hAnsiTheme="majorHAnsi"/>
          <w:b/>
          <w:bCs/>
          <w:sz w:val="32"/>
          <w:szCs w:val="32"/>
        </w:rPr>
      </w:pPr>
      <w:r w:rsidRPr="14FFC04A">
        <w:rPr>
          <w:rFonts w:asciiTheme="majorHAnsi" w:hAnsiTheme="majorHAnsi"/>
          <w:b/>
          <w:bCs/>
          <w:sz w:val="32"/>
          <w:szCs w:val="32"/>
        </w:rPr>
        <w:t xml:space="preserve">LFA </w:t>
      </w:r>
      <w:r w:rsidR="00DA6645" w:rsidRPr="14FFC04A">
        <w:rPr>
          <w:rFonts w:asciiTheme="majorHAnsi" w:hAnsiTheme="majorHAnsi"/>
          <w:b/>
          <w:bCs/>
          <w:sz w:val="32"/>
          <w:szCs w:val="32"/>
        </w:rPr>
        <w:t>Terms of References</w:t>
      </w:r>
      <w:r w:rsidRPr="14FFC04A">
        <w:rPr>
          <w:rFonts w:asciiTheme="majorHAnsi" w:hAnsiTheme="majorHAnsi"/>
          <w:b/>
          <w:bCs/>
          <w:sz w:val="32"/>
          <w:szCs w:val="32"/>
        </w:rPr>
        <w:t>:</w:t>
      </w:r>
      <w:r w:rsidR="00DA6645" w:rsidRPr="14FFC04A">
        <w:rPr>
          <w:rFonts w:asciiTheme="majorHAnsi" w:hAnsiTheme="majorHAnsi"/>
          <w:b/>
          <w:bCs/>
          <w:sz w:val="32"/>
          <w:szCs w:val="32"/>
        </w:rPr>
        <w:t xml:space="preserve"> Engagement of CLOs/CBOs for </w:t>
      </w:r>
      <w:r w:rsidRPr="14FFC04A">
        <w:rPr>
          <w:rFonts w:asciiTheme="majorHAnsi" w:hAnsiTheme="majorHAnsi"/>
          <w:b/>
          <w:bCs/>
          <w:sz w:val="32"/>
          <w:szCs w:val="32"/>
        </w:rPr>
        <w:t>S</w:t>
      </w:r>
      <w:r w:rsidR="00DA6645" w:rsidRPr="14FFC04A">
        <w:rPr>
          <w:rFonts w:asciiTheme="majorHAnsi" w:hAnsiTheme="majorHAnsi"/>
          <w:b/>
          <w:bCs/>
          <w:sz w:val="32"/>
          <w:szCs w:val="32"/>
        </w:rPr>
        <w:t xml:space="preserve">ervice </w:t>
      </w:r>
      <w:r w:rsidRPr="14FFC04A">
        <w:rPr>
          <w:rFonts w:asciiTheme="majorHAnsi" w:hAnsiTheme="majorHAnsi"/>
          <w:b/>
          <w:bCs/>
          <w:sz w:val="32"/>
          <w:szCs w:val="32"/>
        </w:rPr>
        <w:t>D</w:t>
      </w:r>
      <w:r w:rsidR="00DA6645" w:rsidRPr="14FFC04A">
        <w:rPr>
          <w:rFonts w:asciiTheme="majorHAnsi" w:hAnsiTheme="majorHAnsi"/>
          <w:b/>
          <w:bCs/>
          <w:sz w:val="32"/>
          <w:szCs w:val="32"/>
        </w:rPr>
        <w:t>elivery</w:t>
      </w:r>
    </w:p>
    <w:p w14:paraId="59EA7F71" w14:textId="28EE9DBB" w:rsidR="00733C6F" w:rsidRDefault="00733C6F" w:rsidP="14FFC04A">
      <w:pPr>
        <w:rPr>
          <w:rFonts w:asciiTheme="minorHAnsi" w:hAnsiTheme="minorHAnsi"/>
          <w:i/>
          <w:iCs/>
          <w:sz w:val="20"/>
          <w:szCs w:val="20"/>
        </w:rPr>
      </w:pPr>
      <w:r w:rsidRPr="14FFC04A">
        <w:rPr>
          <w:rFonts w:asciiTheme="minorHAnsi" w:hAnsiTheme="minorHAnsi"/>
          <w:i/>
          <w:iCs/>
          <w:sz w:val="20"/>
          <w:szCs w:val="20"/>
        </w:rPr>
        <w:t>July 2025</w:t>
      </w:r>
    </w:p>
    <w:p w14:paraId="77613BE6" w14:textId="77777777" w:rsidR="00733C6F" w:rsidRPr="001E72D4" w:rsidRDefault="00733C6F" w:rsidP="14FFC04A">
      <w:pPr>
        <w:rPr>
          <w:rFonts w:asciiTheme="minorHAnsi" w:hAnsiTheme="minorHAnsi"/>
          <w:i/>
          <w:iCs/>
          <w:sz w:val="20"/>
          <w:szCs w:val="20"/>
        </w:rPr>
      </w:pPr>
    </w:p>
    <w:p w14:paraId="0E700241" w14:textId="5DB67BCB" w:rsidR="00733C6F" w:rsidRPr="001E72D4" w:rsidRDefault="00733C6F" w:rsidP="14FFC04A">
      <w:pPr>
        <w:jc w:val="both"/>
        <w:rPr>
          <w:b/>
          <w:bCs/>
        </w:rPr>
      </w:pPr>
      <w:r w:rsidRPr="14FFC04A">
        <w:rPr>
          <w:b/>
          <w:bCs/>
        </w:rPr>
        <w:t>Background</w:t>
      </w:r>
    </w:p>
    <w:p w14:paraId="439C4A44" w14:textId="3E7AF75A" w:rsidR="00DA6645" w:rsidRPr="007053EB" w:rsidRDefault="00DA6645" w:rsidP="00DA6645">
      <w:pPr>
        <w:pStyle w:val="paragraph"/>
        <w:spacing w:before="0" w:beforeAutospacing="0" w:after="0" w:afterAutospacing="0"/>
        <w:jc w:val="both"/>
        <w:textAlignment w:val="baseline"/>
        <w:rPr>
          <w:rStyle w:val="normaltextrun"/>
          <w:rFonts w:asciiTheme="minorHAnsi" w:hAnsiTheme="minorHAnsi" w:cstheme="minorHAnsi"/>
        </w:rPr>
      </w:pPr>
      <w:r w:rsidRPr="007053EB">
        <w:rPr>
          <w:rStyle w:val="normaltextrun"/>
          <w:rFonts w:asciiTheme="minorHAnsi" w:hAnsiTheme="minorHAnsi" w:cstheme="minorHAnsi"/>
        </w:rPr>
        <w:t xml:space="preserve">The Global Fund’s </w:t>
      </w:r>
      <w:hyperlink r:id="rId13" w:tgtFrame="_blank" w:history="1">
        <w:r w:rsidRPr="007053EB">
          <w:rPr>
            <w:rStyle w:val="normaltextrun"/>
            <w:rFonts w:asciiTheme="minorHAnsi" w:hAnsiTheme="minorHAnsi" w:cstheme="minorHAnsi"/>
            <w:color w:val="2E4DF9"/>
            <w:u w:val="single"/>
          </w:rPr>
          <w:t>Strategy (2023-2028)</w:t>
        </w:r>
      </w:hyperlink>
      <w:r w:rsidRPr="007053EB">
        <w:rPr>
          <w:rStyle w:val="superscript"/>
          <w:rFonts w:asciiTheme="minorHAnsi" w:hAnsiTheme="minorHAnsi" w:cstheme="minorHAnsi"/>
          <w:vertAlign w:val="superscript"/>
        </w:rPr>
        <w:t>1</w:t>
      </w:r>
      <w:r w:rsidRPr="007053EB">
        <w:rPr>
          <w:rStyle w:val="normaltextrun"/>
          <w:rFonts w:asciiTheme="minorHAnsi" w:hAnsiTheme="minorHAnsi" w:cstheme="minorHAnsi"/>
        </w:rPr>
        <w:t xml:space="preserve"> emphasizes the importance of leveraging the experience and expertise of communities living with and affected by HIV, TB and malaria throughout the grant lifecycle. During grant implementation, the engagement of community-based and community-led organizations</w:t>
      </w:r>
      <w:r w:rsidRPr="007053EB">
        <w:rPr>
          <w:rStyle w:val="superscript"/>
          <w:rFonts w:asciiTheme="minorHAnsi" w:hAnsiTheme="minorHAnsi" w:cstheme="minorHAnsi"/>
          <w:vertAlign w:val="superscript"/>
        </w:rPr>
        <w:t>2</w:t>
      </w:r>
      <w:r w:rsidRPr="007053EB">
        <w:rPr>
          <w:rStyle w:val="normaltextrun"/>
          <w:rFonts w:asciiTheme="minorHAnsi" w:hAnsiTheme="minorHAnsi" w:cstheme="minorHAnsi"/>
        </w:rPr>
        <w:t xml:space="preserve"> (CBO/CLO) is considered essential for ensuring Global Fund-supported activities advance the partnership’s strategic objectives and support the achievement of </w:t>
      </w:r>
      <w:hyperlink r:id="rId14" w:tgtFrame="_blank" w:history="1">
        <w:r w:rsidRPr="007053EB">
          <w:rPr>
            <w:rStyle w:val="normaltextrun"/>
            <w:rFonts w:asciiTheme="minorHAnsi" w:hAnsiTheme="minorHAnsi" w:cstheme="minorHAnsi"/>
            <w:color w:val="2E4DF9"/>
            <w:u w:val="single"/>
          </w:rPr>
          <w:t>global goals</w:t>
        </w:r>
      </w:hyperlink>
      <w:r w:rsidRPr="007053EB">
        <w:rPr>
          <w:rStyle w:val="normaltextrun"/>
          <w:rFonts w:asciiTheme="minorHAnsi" w:hAnsiTheme="minorHAnsi" w:cstheme="minorHAnsi"/>
        </w:rPr>
        <w:t>.</w:t>
      </w:r>
      <w:r w:rsidRPr="007053EB">
        <w:rPr>
          <w:rStyle w:val="eop"/>
          <w:rFonts w:asciiTheme="minorHAnsi" w:hAnsiTheme="minorHAnsi" w:cstheme="minorHAnsi"/>
        </w:rPr>
        <w:t> </w:t>
      </w:r>
      <w:r w:rsidRPr="007053EB">
        <w:rPr>
          <w:rStyle w:val="normaltextrun"/>
          <w:rFonts w:asciiTheme="minorHAnsi" w:hAnsiTheme="minorHAnsi" w:cstheme="minorHAnsi"/>
          <w:color w:val="000000"/>
          <w:shd w:val="clear" w:color="auto" w:fill="FFFFFF"/>
        </w:rPr>
        <w:t xml:space="preserve">As implementers, CBOs and CLOs have an unparalleled understanding of the needs of service beneficiaries, the challenges they face in accessing and using services, their preferences for service modalities and platforms, and the acceptability of different service delivery approaches. Therefore, </w:t>
      </w:r>
      <w:r w:rsidRPr="007053EB">
        <w:rPr>
          <w:rStyle w:val="normaltextrun"/>
          <w:rFonts w:asciiTheme="minorHAnsi" w:hAnsiTheme="minorHAnsi" w:cstheme="minorHAnsi"/>
        </w:rPr>
        <w:t>CBOs/CLOs are well-placed to deliver comprehensive people-centered health services, particularly for key and vulnerable populations.</w:t>
      </w:r>
    </w:p>
    <w:p w14:paraId="5DD9F3BC" w14:textId="77777777" w:rsidR="00DA6645" w:rsidRPr="007053EB" w:rsidRDefault="00DA6645" w:rsidP="00DA6645">
      <w:pPr>
        <w:pStyle w:val="paragraph"/>
        <w:spacing w:before="0" w:beforeAutospacing="0" w:after="0" w:afterAutospacing="0"/>
        <w:jc w:val="both"/>
        <w:textAlignment w:val="baseline"/>
        <w:rPr>
          <w:rStyle w:val="normaltextrun"/>
          <w:rFonts w:asciiTheme="minorHAnsi" w:hAnsiTheme="minorHAnsi" w:cstheme="minorHAnsi"/>
          <w:color w:val="000000"/>
          <w:shd w:val="clear" w:color="auto" w:fill="FFFFFF"/>
        </w:rPr>
      </w:pPr>
    </w:p>
    <w:p w14:paraId="0D6855C2" w14:textId="77777777" w:rsidR="00DA6645" w:rsidRPr="007053EB" w:rsidRDefault="00DA6645" w:rsidP="00DA6645">
      <w:pPr>
        <w:pStyle w:val="paragraph"/>
        <w:spacing w:before="0" w:beforeAutospacing="0" w:after="0" w:afterAutospacing="0"/>
        <w:jc w:val="both"/>
        <w:textAlignment w:val="baseline"/>
        <w:rPr>
          <w:rFonts w:asciiTheme="minorHAnsi" w:hAnsiTheme="minorHAnsi" w:cstheme="minorHAnsi"/>
        </w:rPr>
      </w:pPr>
      <w:r w:rsidRPr="007053EB">
        <w:rPr>
          <w:rStyle w:val="normaltextrun"/>
          <w:rFonts w:asciiTheme="minorHAnsi" w:hAnsiTheme="minorHAnsi" w:cstheme="minorHAnsi"/>
          <w:color w:val="000000"/>
          <w:shd w:val="clear" w:color="auto" w:fill="FFFFFF"/>
        </w:rPr>
        <w:t>In Grant Cycle 7 (GC7), the Global Fund strongly encourages in-country partners to engage CBOs/CLOs as implementing partners to the extent possible in line with their comparative advantages guided by programmatic objectives, local contexts and the specific needs of the underserved, marginalized populations and that they: “explore all contracting approaches that may be applicable to their country context and the capacity of relevant organizations, including the use of innovative approaches, such as payment for results”.</w:t>
      </w:r>
      <w:r w:rsidRPr="007053EB">
        <w:rPr>
          <w:rStyle w:val="FootnoteReference"/>
          <w:rFonts w:asciiTheme="minorHAnsi" w:hAnsiTheme="minorHAnsi" w:cstheme="minorHAnsi"/>
        </w:rPr>
        <w:footnoteReference w:id="1"/>
      </w:r>
    </w:p>
    <w:p w14:paraId="76AE9A83" w14:textId="47250217" w:rsidR="00DA6645" w:rsidRPr="007053EB" w:rsidRDefault="00DA6645" w:rsidP="14FFC04A">
      <w:pPr>
        <w:jc w:val="both"/>
        <w:rPr>
          <w:rFonts w:asciiTheme="minorHAnsi" w:hAnsiTheme="minorHAnsi"/>
        </w:rPr>
      </w:pPr>
      <w:r w:rsidRPr="007053EB">
        <w:rPr>
          <w:rFonts w:asciiTheme="minorHAnsi" w:hAnsiTheme="minorHAnsi" w:cstheme="minorHAnsi"/>
          <w:szCs w:val="24"/>
        </w:rPr>
        <w:br/>
      </w:r>
      <w:r w:rsidRPr="14FFC04A">
        <w:rPr>
          <w:rFonts w:asciiTheme="minorHAnsi" w:hAnsiTheme="minorHAnsi"/>
        </w:rPr>
        <w:t>Given the increased investment in community systems strengthening activities and the attention to CBOs and CLOs in grant implementation structures in GC7, this spot</w:t>
      </w:r>
      <w:r w:rsidR="0043550B" w:rsidRPr="14FFC04A">
        <w:rPr>
          <w:rFonts w:asciiTheme="minorHAnsi" w:hAnsiTheme="minorHAnsi"/>
        </w:rPr>
        <w:t xml:space="preserve"> </w:t>
      </w:r>
      <w:r w:rsidRPr="14FFC04A">
        <w:rPr>
          <w:rFonts w:asciiTheme="minorHAnsi" w:hAnsiTheme="minorHAnsi"/>
        </w:rPr>
        <w:t xml:space="preserve">check TOR prioritizes a few key areas for LFA assurance activities that </w:t>
      </w:r>
      <w:r w:rsidR="0043550B" w:rsidRPr="14FFC04A">
        <w:rPr>
          <w:rFonts w:asciiTheme="minorHAnsi" w:hAnsiTheme="minorHAnsi"/>
        </w:rPr>
        <w:t>are not</w:t>
      </w:r>
      <w:r w:rsidRPr="14FFC04A">
        <w:rPr>
          <w:rFonts w:asciiTheme="minorHAnsi" w:hAnsiTheme="minorHAnsi"/>
        </w:rPr>
        <w:t xml:space="preserve"> covered by the</w:t>
      </w:r>
      <w:r w:rsidR="0043550B" w:rsidRPr="14FFC04A">
        <w:rPr>
          <w:rFonts w:asciiTheme="minorHAnsi" w:hAnsiTheme="minorHAnsi"/>
        </w:rPr>
        <w:t xml:space="preserve"> other related</w:t>
      </w:r>
      <w:r w:rsidRPr="14FFC04A">
        <w:rPr>
          <w:rFonts w:asciiTheme="minorHAnsi" w:hAnsiTheme="minorHAnsi"/>
        </w:rPr>
        <w:t xml:space="preserve"> TORs (</w:t>
      </w:r>
      <w:proofErr w:type="spellStart"/>
      <w:r w:rsidRPr="14FFC04A">
        <w:rPr>
          <w:rFonts w:asciiTheme="minorHAnsi" w:hAnsiTheme="minorHAnsi"/>
        </w:rPr>
        <w:t>eg.</w:t>
      </w:r>
      <w:proofErr w:type="spellEnd"/>
      <w:r w:rsidRPr="14FFC04A">
        <w:rPr>
          <w:rFonts w:asciiTheme="minorHAnsi" w:hAnsiTheme="minorHAnsi"/>
        </w:rPr>
        <w:t xml:space="preserve"> Community-Led Monitoring)</w:t>
      </w:r>
      <w:r w:rsidRPr="14FFC04A">
        <w:rPr>
          <w:rStyle w:val="FootnoteReference"/>
          <w:rFonts w:asciiTheme="minorHAnsi" w:hAnsiTheme="minorHAnsi"/>
        </w:rPr>
        <w:footnoteReference w:id="2"/>
      </w:r>
      <w:r w:rsidR="0043550B" w:rsidRPr="14FFC04A">
        <w:rPr>
          <w:rFonts w:asciiTheme="minorHAnsi" w:hAnsiTheme="minorHAnsi"/>
        </w:rPr>
        <w:t xml:space="preserve"> </w:t>
      </w:r>
      <w:r w:rsidRPr="14FFC04A">
        <w:rPr>
          <w:rFonts w:asciiTheme="minorHAnsi" w:hAnsiTheme="minorHAnsi"/>
        </w:rPr>
        <w:t xml:space="preserve">and focuses exclusively on </w:t>
      </w:r>
      <w:r w:rsidR="1D31AB61" w:rsidRPr="14FFC04A">
        <w:rPr>
          <w:rFonts w:asciiTheme="minorHAnsi" w:hAnsiTheme="minorHAnsi"/>
        </w:rPr>
        <w:t xml:space="preserve">community health workers like peers who deliver services at community and facility level in vertical programs compared to integrated community health workers who are part of the formal health system and </w:t>
      </w:r>
      <w:r w:rsidR="61D8E5F0" w:rsidRPr="14FFC04A">
        <w:rPr>
          <w:rFonts w:asciiTheme="minorHAnsi" w:hAnsiTheme="minorHAnsi"/>
        </w:rPr>
        <w:t>HRH/CHW</w:t>
      </w:r>
      <w:r w:rsidRPr="14FFC04A">
        <w:rPr>
          <w:rFonts w:asciiTheme="minorHAnsi" w:hAnsiTheme="minorHAnsi"/>
        </w:rPr>
        <w:t xml:space="preserve">. </w:t>
      </w:r>
    </w:p>
    <w:p w14:paraId="1D011ED5" w14:textId="77777777" w:rsidR="00A766F2" w:rsidRDefault="00A766F2" w:rsidP="00DA6645">
      <w:pPr>
        <w:jc w:val="both"/>
        <w:rPr>
          <w:rFonts w:asciiTheme="minorHAnsi" w:hAnsiTheme="minorHAnsi" w:cstheme="minorHAnsi"/>
          <w:b/>
          <w:bCs/>
          <w:szCs w:val="24"/>
        </w:rPr>
      </w:pPr>
    </w:p>
    <w:p w14:paraId="236A85C8" w14:textId="15CAB7FD" w:rsidR="00DA6645" w:rsidRPr="007053EB" w:rsidRDefault="00DA6645" w:rsidP="00DA6645">
      <w:pPr>
        <w:jc w:val="both"/>
        <w:rPr>
          <w:rFonts w:asciiTheme="minorHAnsi" w:hAnsiTheme="minorHAnsi" w:cstheme="minorHAnsi"/>
          <w:b/>
          <w:bCs/>
          <w:szCs w:val="24"/>
        </w:rPr>
      </w:pPr>
      <w:r w:rsidRPr="007053EB">
        <w:rPr>
          <w:rFonts w:asciiTheme="minorHAnsi" w:hAnsiTheme="minorHAnsi" w:cstheme="minorHAnsi"/>
          <w:b/>
          <w:bCs/>
          <w:szCs w:val="24"/>
        </w:rPr>
        <w:lastRenderedPageBreak/>
        <w:t>Objectives</w:t>
      </w:r>
    </w:p>
    <w:p w14:paraId="489B1C9A" w14:textId="745D5E0C" w:rsidR="00DA6645" w:rsidRPr="007053EB" w:rsidRDefault="00DA6645" w:rsidP="14FFC04A">
      <w:pPr>
        <w:pStyle w:val="ListParagraph"/>
        <w:numPr>
          <w:ilvl w:val="0"/>
          <w:numId w:val="24"/>
        </w:numPr>
        <w:spacing w:line="240" w:lineRule="auto"/>
        <w:jc w:val="both"/>
        <w:rPr>
          <w:rFonts w:asciiTheme="minorHAnsi" w:hAnsiTheme="minorHAnsi"/>
          <w:b/>
          <w:bCs/>
        </w:rPr>
      </w:pPr>
      <w:r w:rsidRPr="14FFC04A">
        <w:rPr>
          <w:rFonts w:asciiTheme="minorHAnsi" w:hAnsiTheme="minorHAnsi"/>
        </w:rPr>
        <w:t xml:space="preserve">To assess the extent to which </w:t>
      </w:r>
      <w:r w:rsidR="0043550B" w:rsidRPr="14FFC04A">
        <w:rPr>
          <w:rFonts w:asciiTheme="minorHAnsi" w:hAnsiTheme="minorHAnsi"/>
        </w:rPr>
        <w:t xml:space="preserve">the </w:t>
      </w:r>
      <w:r w:rsidRPr="14FFC04A">
        <w:rPr>
          <w:rFonts w:asciiTheme="minorHAnsi" w:hAnsiTheme="minorHAnsi"/>
        </w:rPr>
        <w:t>policy and program support framework enables Community-Led Organizations (CLOs) and Community-Based Organizations (CBOs) to effectively contribute to service delivery</w:t>
      </w:r>
      <w:r w:rsidR="0043550B" w:rsidRPr="14FFC04A">
        <w:rPr>
          <w:rFonts w:asciiTheme="minorHAnsi" w:hAnsiTheme="minorHAnsi"/>
        </w:rPr>
        <w:t>;</w:t>
      </w:r>
    </w:p>
    <w:p w14:paraId="01A51CB6" w14:textId="74E15231" w:rsidR="00DA6645" w:rsidRPr="007053EB" w:rsidRDefault="00DA6645" w:rsidP="14FFC04A">
      <w:pPr>
        <w:pStyle w:val="ListParagraph"/>
        <w:numPr>
          <w:ilvl w:val="0"/>
          <w:numId w:val="24"/>
        </w:numPr>
        <w:spacing w:line="240" w:lineRule="auto"/>
        <w:jc w:val="both"/>
        <w:rPr>
          <w:rFonts w:asciiTheme="minorHAnsi" w:hAnsiTheme="minorHAnsi"/>
          <w:b/>
          <w:bCs/>
        </w:rPr>
      </w:pPr>
      <w:r w:rsidRPr="14FFC04A">
        <w:rPr>
          <w:rFonts w:asciiTheme="minorHAnsi" w:hAnsiTheme="minorHAnsi"/>
        </w:rPr>
        <w:t xml:space="preserve">To </w:t>
      </w:r>
      <w:r w:rsidR="00733C6F" w:rsidRPr="14FFC04A">
        <w:rPr>
          <w:rFonts w:asciiTheme="minorHAnsi" w:hAnsiTheme="minorHAnsi"/>
        </w:rPr>
        <w:t xml:space="preserve">review </w:t>
      </w:r>
      <w:r w:rsidRPr="14FFC04A">
        <w:rPr>
          <w:rFonts w:asciiTheme="minorHAnsi" w:hAnsiTheme="minorHAnsi"/>
        </w:rPr>
        <w:t xml:space="preserve">whether the investment under capacity building and leadership development in grants is optimally implemented, tailored to the needs and contexts, linked with program goals e.g. service delivery or </w:t>
      </w:r>
      <w:r w:rsidR="15E416D7" w:rsidRPr="14FFC04A">
        <w:rPr>
          <w:rFonts w:asciiTheme="minorHAnsi" w:hAnsiTheme="minorHAnsi"/>
        </w:rPr>
        <w:t xml:space="preserve">monitoring and/or </w:t>
      </w:r>
      <w:r w:rsidRPr="14FFC04A">
        <w:rPr>
          <w:rFonts w:asciiTheme="minorHAnsi" w:hAnsiTheme="minorHAnsi"/>
        </w:rPr>
        <w:t>advocacy and enables meaningful engagement of communities in the health and social justice responses.</w:t>
      </w:r>
    </w:p>
    <w:p w14:paraId="364B20A6" w14:textId="1AC525FB" w:rsidR="00DA6645" w:rsidRPr="007053EB" w:rsidRDefault="00DA6645" w:rsidP="14FFC04A">
      <w:pPr>
        <w:pStyle w:val="ListParagraph"/>
        <w:numPr>
          <w:ilvl w:val="0"/>
          <w:numId w:val="24"/>
        </w:numPr>
        <w:spacing w:line="240" w:lineRule="auto"/>
        <w:jc w:val="both"/>
        <w:rPr>
          <w:rFonts w:asciiTheme="minorHAnsi" w:hAnsiTheme="minorHAnsi"/>
        </w:rPr>
      </w:pPr>
      <w:r w:rsidRPr="14FFC04A">
        <w:rPr>
          <w:rFonts w:asciiTheme="minorHAnsi" w:hAnsiTheme="minorHAnsi"/>
        </w:rPr>
        <w:t>To identify challenges and bottlenecks to effective implement</w:t>
      </w:r>
      <w:r w:rsidR="0043550B" w:rsidRPr="14FFC04A">
        <w:rPr>
          <w:rFonts w:asciiTheme="minorHAnsi" w:hAnsiTheme="minorHAnsi"/>
        </w:rPr>
        <w:t>ation</w:t>
      </w:r>
      <w:r w:rsidRPr="14FFC04A">
        <w:rPr>
          <w:rFonts w:asciiTheme="minorHAnsi" w:hAnsiTheme="minorHAnsi"/>
        </w:rPr>
        <w:t xml:space="preserve"> of programs leveraging CLOs and CBOs and </w:t>
      </w:r>
      <w:r w:rsidR="0043550B" w:rsidRPr="14FFC04A">
        <w:rPr>
          <w:rFonts w:asciiTheme="minorHAnsi" w:hAnsiTheme="minorHAnsi"/>
        </w:rPr>
        <w:t xml:space="preserve">to propose </w:t>
      </w:r>
      <w:r w:rsidR="21D89ACD" w:rsidRPr="14FFC04A">
        <w:rPr>
          <w:rFonts w:asciiTheme="minorHAnsi" w:hAnsiTheme="minorHAnsi"/>
        </w:rPr>
        <w:t xml:space="preserve">improvements to service delivery modalities and approaches. </w:t>
      </w:r>
    </w:p>
    <w:p w14:paraId="025B62B9" w14:textId="77777777" w:rsidR="009F4827" w:rsidRDefault="009F4827" w:rsidP="14FFC04A">
      <w:pPr>
        <w:pStyle w:val="Normal0"/>
        <w:pBdr>
          <w:top w:val="nil"/>
          <w:left w:val="nil"/>
          <w:bottom w:val="nil"/>
          <w:right w:val="nil"/>
          <w:between w:val="nil"/>
        </w:pBdr>
        <w:spacing w:after="0" w:line="240" w:lineRule="auto"/>
        <w:jc w:val="both"/>
        <w:rPr>
          <w:rFonts w:asciiTheme="minorHAnsi" w:hAnsiTheme="minorHAnsi" w:cstheme="minorBidi"/>
        </w:rPr>
      </w:pPr>
    </w:p>
    <w:p w14:paraId="7A54A38B" w14:textId="09E75776" w:rsidR="009F4827" w:rsidRPr="001E72D4" w:rsidRDefault="009F4827" w:rsidP="14FFC04A">
      <w:pPr>
        <w:jc w:val="both"/>
        <w:rPr>
          <w:rFonts w:asciiTheme="minorHAnsi" w:hAnsiTheme="minorHAnsi"/>
          <w:b/>
          <w:bCs/>
        </w:rPr>
      </w:pPr>
      <w:r w:rsidRPr="14FFC04A">
        <w:rPr>
          <w:rFonts w:asciiTheme="minorHAnsi" w:hAnsiTheme="minorHAnsi"/>
          <w:b/>
          <w:bCs/>
        </w:rPr>
        <w:t>Scope</w:t>
      </w:r>
    </w:p>
    <w:p w14:paraId="1DE961BC" w14:textId="07869D30" w:rsidR="00A638D3" w:rsidRPr="001E72D4" w:rsidRDefault="0043550B" w:rsidP="14FFC04A">
      <w:pPr>
        <w:pStyle w:val="Normal0"/>
        <w:pBdr>
          <w:top w:val="nil"/>
          <w:left w:val="nil"/>
          <w:bottom w:val="nil"/>
          <w:right w:val="nil"/>
          <w:between w:val="nil"/>
        </w:pBdr>
        <w:spacing w:after="0" w:line="240" w:lineRule="auto"/>
        <w:jc w:val="both"/>
        <w:rPr>
          <w:rFonts w:asciiTheme="minorHAnsi" w:eastAsia="Georgia" w:hAnsiTheme="minorHAnsi" w:cstheme="minorBidi"/>
          <w:sz w:val="24"/>
          <w:szCs w:val="24"/>
        </w:rPr>
      </w:pPr>
      <w:r w:rsidRPr="14FFC04A">
        <w:rPr>
          <w:rFonts w:asciiTheme="minorHAnsi" w:hAnsiTheme="minorHAnsi" w:cstheme="minorBidi"/>
          <w:sz w:val="24"/>
          <w:szCs w:val="24"/>
        </w:rPr>
        <w:t>The review</w:t>
      </w:r>
      <w:r w:rsidR="00DA6645" w:rsidRPr="14FFC04A">
        <w:rPr>
          <w:rFonts w:asciiTheme="minorHAnsi" w:hAnsiTheme="minorHAnsi" w:cstheme="minorBidi"/>
          <w:sz w:val="24"/>
          <w:szCs w:val="24"/>
        </w:rPr>
        <w:t xml:space="preserve"> </w:t>
      </w:r>
      <w:r w:rsidRPr="14FFC04A">
        <w:rPr>
          <w:rFonts w:asciiTheme="minorHAnsi" w:hAnsiTheme="minorHAnsi" w:cstheme="minorBidi"/>
          <w:sz w:val="24"/>
          <w:szCs w:val="24"/>
        </w:rPr>
        <w:t>focuses on the following</w:t>
      </w:r>
      <w:r w:rsidR="00DA6645" w:rsidRPr="14FFC04A">
        <w:rPr>
          <w:rFonts w:asciiTheme="minorHAnsi" w:hAnsiTheme="minorHAnsi" w:cstheme="minorBidi"/>
          <w:sz w:val="24"/>
          <w:szCs w:val="24"/>
        </w:rPr>
        <w:t xml:space="preserve"> </w:t>
      </w:r>
      <w:r w:rsidRPr="14FFC04A">
        <w:rPr>
          <w:rFonts w:asciiTheme="minorHAnsi" w:hAnsiTheme="minorHAnsi" w:cstheme="minorBidi"/>
          <w:sz w:val="24"/>
          <w:szCs w:val="24"/>
        </w:rPr>
        <w:t xml:space="preserve">five </w:t>
      </w:r>
      <w:r w:rsidR="00DA6645" w:rsidRPr="14FFC04A">
        <w:rPr>
          <w:rFonts w:asciiTheme="minorHAnsi" w:hAnsiTheme="minorHAnsi" w:cstheme="minorBidi"/>
          <w:sz w:val="24"/>
          <w:szCs w:val="24"/>
        </w:rPr>
        <w:t>areas</w:t>
      </w:r>
      <w:r w:rsidR="00A638D3" w:rsidRPr="14FFC04A">
        <w:rPr>
          <w:rFonts w:asciiTheme="minorHAnsi" w:hAnsiTheme="minorHAnsi" w:cstheme="minorBidi"/>
          <w:sz w:val="24"/>
          <w:szCs w:val="24"/>
        </w:rPr>
        <w:t xml:space="preserve"> </w:t>
      </w:r>
      <w:r w:rsidR="00A638D3" w:rsidRPr="14FFC04A">
        <w:rPr>
          <w:rFonts w:asciiTheme="minorHAnsi" w:eastAsia="Georgia" w:hAnsiTheme="minorHAnsi" w:cstheme="minorBidi"/>
          <w:i/>
          <w:iCs/>
          <w:sz w:val="24"/>
          <w:szCs w:val="24"/>
        </w:rPr>
        <w:t>[detailed scope to be agreed with the Country Team prior to commencing the review]</w:t>
      </w:r>
      <w:r w:rsidR="00A638D3" w:rsidRPr="14FFC04A">
        <w:rPr>
          <w:rFonts w:asciiTheme="minorHAnsi" w:eastAsia="Georgia" w:hAnsiTheme="minorHAnsi" w:cstheme="minorBidi"/>
          <w:sz w:val="24"/>
          <w:szCs w:val="24"/>
        </w:rPr>
        <w:t>:</w:t>
      </w:r>
    </w:p>
    <w:p w14:paraId="5CFCECF5" w14:textId="77777777" w:rsidR="00A638D3" w:rsidRPr="001E72D4" w:rsidRDefault="00A638D3" w:rsidP="14FFC04A">
      <w:pPr>
        <w:pStyle w:val="Normal0"/>
        <w:pBdr>
          <w:top w:val="nil"/>
          <w:left w:val="nil"/>
          <w:bottom w:val="nil"/>
          <w:right w:val="nil"/>
          <w:between w:val="nil"/>
        </w:pBdr>
        <w:spacing w:after="0" w:line="240" w:lineRule="auto"/>
        <w:jc w:val="both"/>
        <w:rPr>
          <w:rFonts w:asciiTheme="minorHAnsi" w:eastAsia="Georgia" w:hAnsiTheme="minorHAnsi" w:cstheme="minorBidi"/>
          <w:b/>
          <w:bCs/>
          <w:sz w:val="24"/>
          <w:szCs w:val="24"/>
        </w:rPr>
      </w:pPr>
    </w:p>
    <w:p w14:paraId="07D707E7" w14:textId="7972F3E6" w:rsidR="00DA6645" w:rsidRPr="007053EB" w:rsidRDefault="00DA6645" w:rsidP="14FFC04A">
      <w:pPr>
        <w:numPr>
          <w:ilvl w:val="0"/>
          <w:numId w:val="25"/>
        </w:numPr>
        <w:spacing w:line="240" w:lineRule="auto"/>
        <w:jc w:val="both"/>
        <w:rPr>
          <w:rFonts w:asciiTheme="minorHAnsi" w:hAnsiTheme="minorHAnsi"/>
          <w:szCs w:val="24"/>
        </w:rPr>
      </w:pPr>
      <w:r w:rsidRPr="14FFC04A">
        <w:rPr>
          <w:rFonts w:asciiTheme="minorHAnsi" w:hAnsiTheme="minorHAnsi"/>
        </w:rPr>
        <w:t xml:space="preserve">Supportive policy and strategy </w:t>
      </w:r>
      <w:r w:rsidR="00A47FF0" w:rsidRPr="14FFC04A">
        <w:rPr>
          <w:rFonts w:asciiTheme="minorHAnsi" w:hAnsiTheme="minorHAnsi"/>
        </w:rPr>
        <w:t>are in place enabling</w:t>
      </w:r>
      <w:r w:rsidRPr="14FFC04A">
        <w:rPr>
          <w:rFonts w:asciiTheme="minorHAnsi" w:hAnsiTheme="minorHAnsi"/>
        </w:rPr>
        <w:t xml:space="preserve"> effective community systems and responses for service delivery</w:t>
      </w:r>
      <w:r w:rsidR="276F49AB" w:rsidRPr="14FFC04A">
        <w:rPr>
          <w:rFonts w:asciiTheme="minorHAnsi" w:hAnsiTheme="minorHAnsi"/>
        </w:rPr>
        <w:t xml:space="preserve"> from diverse communities</w:t>
      </w:r>
      <w:r w:rsidR="00A47FF0" w:rsidRPr="14FFC04A">
        <w:rPr>
          <w:rFonts w:asciiTheme="minorHAnsi" w:hAnsiTheme="minorHAnsi"/>
        </w:rPr>
        <w:t>.</w:t>
      </w:r>
    </w:p>
    <w:p w14:paraId="5F56D666" w14:textId="077E7065" w:rsidR="00DA6645" w:rsidRPr="007053EB" w:rsidRDefault="00DA6645" w:rsidP="14FFC04A">
      <w:pPr>
        <w:pStyle w:val="ListParagraph"/>
        <w:numPr>
          <w:ilvl w:val="0"/>
          <w:numId w:val="25"/>
        </w:numPr>
        <w:spacing w:line="240" w:lineRule="auto"/>
        <w:jc w:val="both"/>
        <w:rPr>
          <w:rFonts w:asciiTheme="minorHAnsi" w:hAnsiTheme="minorHAnsi"/>
        </w:rPr>
      </w:pPr>
      <w:r w:rsidRPr="14FFC04A">
        <w:rPr>
          <w:rFonts w:asciiTheme="minorHAnsi" w:hAnsiTheme="minorHAnsi"/>
        </w:rPr>
        <w:t>Differentiated cadres of peers, roles and responsibilities and</w:t>
      </w:r>
      <w:r w:rsidR="5162B8F6" w:rsidRPr="14FFC04A">
        <w:rPr>
          <w:rFonts w:asciiTheme="minorHAnsi" w:hAnsiTheme="minorHAnsi"/>
        </w:rPr>
        <w:t xml:space="preserve"> civil society </w:t>
      </w:r>
      <w:r w:rsidR="00FC76C9" w:rsidRPr="14FFC04A">
        <w:rPr>
          <w:rFonts w:asciiTheme="minorHAnsi" w:hAnsiTheme="minorHAnsi"/>
        </w:rPr>
        <w:t>organizations</w:t>
      </w:r>
      <w:r w:rsidR="456CC68C" w:rsidRPr="14FFC04A">
        <w:rPr>
          <w:rFonts w:asciiTheme="minorHAnsi" w:hAnsiTheme="minorHAnsi"/>
        </w:rPr>
        <w:t xml:space="preserve"> (</w:t>
      </w:r>
      <w:r w:rsidRPr="14FFC04A">
        <w:rPr>
          <w:rFonts w:asciiTheme="minorHAnsi" w:hAnsiTheme="minorHAnsi"/>
        </w:rPr>
        <w:t>CSO</w:t>
      </w:r>
      <w:r w:rsidR="5168200F" w:rsidRPr="14FFC04A">
        <w:rPr>
          <w:rFonts w:asciiTheme="minorHAnsi" w:hAnsiTheme="minorHAnsi"/>
        </w:rPr>
        <w:t>)</w:t>
      </w:r>
      <w:r w:rsidRPr="14FFC04A">
        <w:rPr>
          <w:rFonts w:asciiTheme="minorHAnsi" w:hAnsiTheme="minorHAnsi"/>
        </w:rPr>
        <w:t>-</w:t>
      </w:r>
      <w:r w:rsidR="00A47FF0" w:rsidRPr="14FFC04A">
        <w:rPr>
          <w:rFonts w:asciiTheme="minorHAnsi" w:hAnsiTheme="minorHAnsi"/>
        </w:rPr>
        <w:t xml:space="preserve">government </w:t>
      </w:r>
      <w:r w:rsidRPr="14FFC04A">
        <w:rPr>
          <w:rFonts w:asciiTheme="minorHAnsi" w:hAnsiTheme="minorHAnsi"/>
        </w:rPr>
        <w:t xml:space="preserve">facility linkages and coordination frameworks and SOPs in place. </w:t>
      </w:r>
    </w:p>
    <w:p w14:paraId="216BEAB6" w14:textId="4B3141D8" w:rsidR="00DA6645" w:rsidRPr="007053EB" w:rsidRDefault="00A47FF0" w:rsidP="14FFC04A">
      <w:pPr>
        <w:pStyle w:val="ListParagraph"/>
        <w:numPr>
          <w:ilvl w:val="0"/>
          <w:numId w:val="25"/>
        </w:numPr>
        <w:spacing w:line="240" w:lineRule="auto"/>
        <w:jc w:val="both"/>
        <w:rPr>
          <w:rFonts w:asciiTheme="minorHAnsi" w:hAnsiTheme="minorHAnsi"/>
        </w:rPr>
      </w:pPr>
      <w:r w:rsidRPr="14FFC04A">
        <w:rPr>
          <w:rFonts w:asciiTheme="minorHAnsi" w:hAnsiTheme="minorHAnsi"/>
        </w:rPr>
        <w:t xml:space="preserve">Adequate </w:t>
      </w:r>
      <w:r w:rsidR="00DA6645" w:rsidRPr="14FFC04A">
        <w:rPr>
          <w:rFonts w:asciiTheme="minorHAnsi" w:hAnsiTheme="minorHAnsi"/>
        </w:rPr>
        <w:t>contractual modalities for CLOs/CBOs including payment for results and activity-based contracting</w:t>
      </w:r>
      <w:r w:rsidRPr="14FFC04A">
        <w:rPr>
          <w:rFonts w:asciiTheme="minorHAnsi" w:hAnsiTheme="minorHAnsi"/>
        </w:rPr>
        <w:t xml:space="preserve"> are in place</w:t>
      </w:r>
      <w:r w:rsidR="00DA6645" w:rsidRPr="14FFC04A">
        <w:rPr>
          <w:rFonts w:asciiTheme="minorHAnsi" w:hAnsiTheme="minorHAnsi"/>
        </w:rPr>
        <w:t xml:space="preserve">. </w:t>
      </w:r>
    </w:p>
    <w:p w14:paraId="441811EC" w14:textId="42B566CA" w:rsidR="00DA6645" w:rsidRPr="007053EB" w:rsidRDefault="00A47FF0" w:rsidP="14FFC04A">
      <w:pPr>
        <w:pStyle w:val="ListParagraph"/>
        <w:numPr>
          <w:ilvl w:val="0"/>
          <w:numId w:val="25"/>
        </w:numPr>
        <w:spacing w:line="240" w:lineRule="auto"/>
        <w:jc w:val="both"/>
        <w:rPr>
          <w:rFonts w:asciiTheme="minorHAnsi" w:hAnsiTheme="minorHAnsi"/>
        </w:rPr>
      </w:pPr>
      <w:r w:rsidRPr="14FFC04A">
        <w:rPr>
          <w:rFonts w:asciiTheme="minorHAnsi" w:hAnsiTheme="minorHAnsi"/>
        </w:rPr>
        <w:t>C</w:t>
      </w:r>
      <w:r w:rsidR="00DA6645" w:rsidRPr="14FFC04A">
        <w:rPr>
          <w:rFonts w:asciiTheme="minorHAnsi" w:hAnsiTheme="minorHAnsi"/>
        </w:rPr>
        <w:t xml:space="preserve">ontributions of CLOs/CBOs in service delivery </w:t>
      </w:r>
      <w:r w:rsidRPr="14FFC04A">
        <w:rPr>
          <w:rFonts w:asciiTheme="minorHAnsi" w:hAnsiTheme="minorHAnsi"/>
        </w:rPr>
        <w:t xml:space="preserve">are measured </w:t>
      </w:r>
      <w:r w:rsidR="00DA6645" w:rsidRPr="14FFC04A">
        <w:rPr>
          <w:rFonts w:asciiTheme="minorHAnsi" w:hAnsiTheme="minorHAnsi"/>
        </w:rPr>
        <w:t>through data systems and referral/linkage SOPs</w:t>
      </w:r>
      <w:r w:rsidRPr="14FFC04A">
        <w:rPr>
          <w:rFonts w:asciiTheme="minorHAnsi" w:hAnsiTheme="minorHAnsi"/>
        </w:rPr>
        <w:t>.</w:t>
      </w:r>
      <w:r w:rsidR="00DA6645" w:rsidRPr="14FFC04A">
        <w:rPr>
          <w:rFonts w:asciiTheme="minorHAnsi" w:hAnsiTheme="minorHAnsi"/>
        </w:rPr>
        <w:t xml:space="preserve"> </w:t>
      </w:r>
    </w:p>
    <w:p w14:paraId="6A746159" w14:textId="5B7C2AD6" w:rsidR="00DA6645" w:rsidRPr="007053EB" w:rsidRDefault="00A47FF0" w:rsidP="14FFC04A">
      <w:pPr>
        <w:pStyle w:val="ListParagraph"/>
        <w:numPr>
          <w:ilvl w:val="0"/>
          <w:numId w:val="25"/>
        </w:numPr>
        <w:spacing w:line="240" w:lineRule="auto"/>
        <w:jc w:val="both"/>
        <w:rPr>
          <w:rFonts w:asciiTheme="minorHAnsi" w:hAnsiTheme="minorHAnsi"/>
        </w:rPr>
      </w:pPr>
      <w:r w:rsidRPr="14FFC04A">
        <w:rPr>
          <w:rFonts w:asciiTheme="minorHAnsi" w:hAnsiTheme="minorHAnsi"/>
        </w:rPr>
        <w:t>C</w:t>
      </w:r>
      <w:r w:rsidR="00DA6645" w:rsidRPr="14FFC04A">
        <w:rPr>
          <w:rFonts w:asciiTheme="minorHAnsi" w:hAnsiTheme="minorHAnsi"/>
        </w:rPr>
        <w:t xml:space="preserve">apacity building and leadership development activities </w:t>
      </w:r>
      <w:r w:rsidRPr="14FFC04A">
        <w:rPr>
          <w:rFonts w:asciiTheme="minorHAnsi" w:hAnsiTheme="minorHAnsi"/>
        </w:rPr>
        <w:t xml:space="preserve">are leveraged </w:t>
      </w:r>
      <w:r w:rsidR="00DA6645" w:rsidRPr="14FFC04A">
        <w:rPr>
          <w:rFonts w:asciiTheme="minorHAnsi" w:hAnsiTheme="minorHAnsi"/>
        </w:rPr>
        <w:t>for improved outcomes (effectiveness, quality and access) in service delivery</w:t>
      </w:r>
      <w:r w:rsidRPr="14FFC04A">
        <w:rPr>
          <w:rFonts w:asciiTheme="minorHAnsi" w:hAnsiTheme="minorHAnsi"/>
        </w:rPr>
        <w:t>.</w:t>
      </w:r>
    </w:p>
    <w:p w14:paraId="0DC792A3" w14:textId="08EC30E2" w:rsidR="00DA6645" w:rsidRPr="007053EB" w:rsidRDefault="00A638D3" w:rsidP="14FFC04A">
      <w:pPr>
        <w:jc w:val="both"/>
        <w:rPr>
          <w:rFonts w:asciiTheme="minorHAnsi" w:hAnsiTheme="minorHAnsi"/>
          <w:b/>
          <w:bCs/>
        </w:rPr>
      </w:pPr>
      <w:r w:rsidRPr="14FFC04A">
        <w:rPr>
          <w:rFonts w:asciiTheme="minorHAnsi" w:hAnsiTheme="minorHAnsi"/>
          <w:b/>
          <w:bCs/>
        </w:rPr>
        <w:t>Review questions to be addressed in each area:</w:t>
      </w:r>
    </w:p>
    <w:p w14:paraId="3C5141FE" w14:textId="77777777" w:rsidR="00DA6645" w:rsidRPr="007053EB" w:rsidRDefault="00DA6645" w:rsidP="14FFC04A">
      <w:pPr>
        <w:pStyle w:val="ListParagraph"/>
        <w:numPr>
          <w:ilvl w:val="0"/>
          <w:numId w:val="31"/>
        </w:numPr>
        <w:spacing w:line="240" w:lineRule="auto"/>
        <w:rPr>
          <w:rFonts w:asciiTheme="minorHAnsi" w:hAnsiTheme="minorHAnsi"/>
          <w:b/>
          <w:bCs/>
        </w:rPr>
      </w:pPr>
      <w:r w:rsidRPr="14FFC04A">
        <w:rPr>
          <w:rFonts w:asciiTheme="minorHAnsi" w:hAnsiTheme="minorHAnsi"/>
          <w:b/>
          <w:bCs/>
        </w:rPr>
        <w:t>Supportive policy and strategy that enables effective community systems for service delivery</w:t>
      </w:r>
      <w:r>
        <w:br/>
      </w:r>
    </w:p>
    <w:p w14:paraId="145D91C1" w14:textId="1FCC627E" w:rsidR="00DA6645" w:rsidRPr="007053EB" w:rsidRDefault="00DA6645" w:rsidP="14FFC04A">
      <w:pPr>
        <w:pStyle w:val="ListParagraph"/>
        <w:numPr>
          <w:ilvl w:val="0"/>
          <w:numId w:val="28"/>
        </w:numPr>
        <w:spacing w:line="240" w:lineRule="auto"/>
        <w:jc w:val="both"/>
        <w:rPr>
          <w:rFonts w:asciiTheme="minorHAnsi" w:hAnsiTheme="minorHAnsi"/>
        </w:rPr>
      </w:pPr>
      <w:r w:rsidRPr="14FFC04A">
        <w:rPr>
          <w:rFonts w:asciiTheme="minorHAnsi" w:hAnsiTheme="minorHAnsi"/>
        </w:rPr>
        <w:t>Is there a national policy (laws, regulations or policies) and/or strategy (national health strategies, community health strategy) for the operation of community service providers?</w:t>
      </w:r>
    </w:p>
    <w:p w14:paraId="64AD62D7" w14:textId="77777777" w:rsidR="00DA6645" w:rsidRPr="007053EB" w:rsidRDefault="00DA6645" w:rsidP="00DA6645">
      <w:pPr>
        <w:pStyle w:val="ListParagraph"/>
        <w:numPr>
          <w:ilvl w:val="1"/>
          <w:numId w:val="28"/>
        </w:numPr>
        <w:spacing w:line="240" w:lineRule="auto"/>
        <w:jc w:val="both"/>
        <w:rPr>
          <w:rFonts w:asciiTheme="minorHAnsi" w:hAnsiTheme="minorHAnsi" w:cstheme="minorHAnsi"/>
          <w:szCs w:val="24"/>
        </w:rPr>
      </w:pPr>
      <w:r w:rsidRPr="007053EB">
        <w:rPr>
          <w:rFonts w:asciiTheme="minorHAnsi" w:hAnsiTheme="minorHAnsi" w:cstheme="minorHAnsi"/>
          <w:szCs w:val="24"/>
        </w:rPr>
        <w:t xml:space="preserve">Does it recognize the roles CBO </w:t>
      </w:r>
      <w:r w:rsidRPr="007053EB">
        <w:rPr>
          <w:rFonts w:asciiTheme="minorHAnsi" w:hAnsiTheme="minorHAnsi" w:cstheme="minorHAnsi"/>
          <w:b/>
          <w:bCs/>
          <w:szCs w:val="24"/>
        </w:rPr>
        <w:t>and</w:t>
      </w:r>
      <w:r w:rsidRPr="007053EB">
        <w:rPr>
          <w:rFonts w:asciiTheme="minorHAnsi" w:hAnsiTheme="minorHAnsi" w:cstheme="minorHAnsi"/>
          <w:szCs w:val="24"/>
        </w:rPr>
        <w:t xml:space="preserve"> CLOs play in the response to HTM as part of the strategy?</w:t>
      </w:r>
    </w:p>
    <w:p w14:paraId="6AB5C81E" w14:textId="17412C68" w:rsidR="00DA6645" w:rsidRPr="007053EB" w:rsidRDefault="00DA6645" w:rsidP="14FFC04A">
      <w:pPr>
        <w:pStyle w:val="ListParagraph"/>
        <w:numPr>
          <w:ilvl w:val="1"/>
          <w:numId w:val="28"/>
        </w:numPr>
        <w:spacing w:line="240" w:lineRule="auto"/>
        <w:jc w:val="both"/>
        <w:rPr>
          <w:rFonts w:asciiTheme="minorHAnsi" w:hAnsiTheme="minorHAnsi"/>
        </w:rPr>
      </w:pPr>
      <w:r w:rsidRPr="14FFC04A">
        <w:rPr>
          <w:rFonts w:asciiTheme="minorHAnsi" w:hAnsiTheme="minorHAnsi"/>
        </w:rPr>
        <w:t xml:space="preserve">Does national policy/strategy </w:t>
      </w:r>
      <w:r w:rsidR="049EB77C" w:rsidRPr="14FFC04A">
        <w:rPr>
          <w:rFonts w:asciiTheme="minorHAnsi" w:hAnsiTheme="minorHAnsi"/>
        </w:rPr>
        <w:t xml:space="preserve">define </w:t>
      </w:r>
      <w:r w:rsidRPr="14FFC04A">
        <w:rPr>
          <w:rFonts w:asciiTheme="minorHAnsi" w:hAnsiTheme="minorHAnsi"/>
        </w:rPr>
        <w:t xml:space="preserve">and </w:t>
      </w:r>
      <w:proofErr w:type="gramStart"/>
      <w:r w:rsidRPr="14FFC04A">
        <w:rPr>
          <w:rFonts w:asciiTheme="minorHAnsi" w:hAnsiTheme="minorHAnsi"/>
        </w:rPr>
        <w:t>provides</w:t>
      </w:r>
      <w:proofErr w:type="gramEnd"/>
      <w:r w:rsidRPr="14FFC04A">
        <w:rPr>
          <w:rFonts w:asciiTheme="minorHAnsi" w:hAnsiTheme="minorHAnsi"/>
        </w:rPr>
        <w:t xml:space="preserve"> a framework (incl. remuneration scheme, scope of work/service packages) for various </w:t>
      </w:r>
      <w:proofErr w:type="gramStart"/>
      <w:r w:rsidRPr="14FFC04A">
        <w:rPr>
          <w:rFonts w:asciiTheme="minorHAnsi" w:hAnsiTheme="minorHAnsi"/>
        </w:rPr>
        <w:t>cadres</w:t>
      </w:r>
      <w:proofErr w:type="gramEnd"/>
      <w:r w:rsidRPr="14FFC04A">
        <w:rPr>
          <w:rFonts w:asciiTheme="minorHAnsi" w:hAnsiTheme="minorHAnsi"/>
        </w:rPr>
        <w:t xml:space="preserve"> of peers, including those managed by non-governmental organizations?</w:t>
      </w:r>
    </w:p>
    <w:p w14:paraId="5ACB03F5" w14:textId="5941B707" w:rsidR="00DA6645" w:rsidRPr="007053EB" w:rsidRDefault="00DA6645" w:rsidP="14FFC04A">
      <w:pPr>
        <w:pStyle w:val="ListParagraph"/>
        <w:numPr>
          <w:ilvl w:val="1"/>
          <w:numId w:val="28"/>
        </w:numPr>
        <w:spacing w:line="240" w:lineRule="auto"/>
        <w:jc w:val="both"/>
        <w:rPr>
          <w:rFonts w:asciiTheme="minorHAnsi" w:hAnsiTheme="minorHAnsi"/>
        </w:rPr>
      </w:pPr>
      <w:r w:rsidRPr="14FFC04A">
        <w:rPr>
          <w:rFonts w:asciiTheme="minorHAnsi" w:hAnsiTheme="minorHAnsi"/>
        </w:rPr>
        <w:lastRenderedPageBreak/>
        <w:t xml:space="preserve">Are policy and registration restrictions in </w:t>
      </w:r>
      <w:r w:rsidR="271E4704" w:rsidRPr="14FFC04A">
        <w:rPr>
          <w:rFonts w:asciiTheme="minorHAnsi" w:hAnsiTheme="minorHAnsi"/>
        </w:rPr>
        <w:t>countries</w:t>
      </w:r>
      <w:r w:rsidRPr="14FFC04A">
        <w:rPr>
          <w:rFonts w:asciiTheme="minorHAnsi" w:hAnsiTheme="minorHAnsi"/>
        </w:rPr>
        <w:t xml:space="preserve"> imped</w:t>
      </w:r>
      <w:r w:rsidR="26913109" w:rsidRPr="14FFC04A">
        <w:rPr>
          <w:rFonts w:asciiTheme="minorHAnsi" w:hAnsiTheme="minorHAnsi"/>
        </w:rPr>
        <w:t>ing</w:t>
      </w:r>
      <w:r w:rsidRPr="14FFC04A">
        <w:rPr>
          <w:rFonts w:asciiTheme="minorHAnsi" w:hAnsiTheme="minorHAnsi"/>
        </w:rPr>
        <w:t xml:space="preserve"> certain community-type org</w:t>
      </w:r>
      <w:r w:rsidR="00B2443E" w:rsidRPr="14FFC04A">
        <w:rPr>
          <w:rFonts w:asciiTheme="minorHAnsi" w:hAnsiTheme="minorHAnsi"/>
        </w:rPr>
        <w:t>anization</w:t>
      </w:r>
      <w:r w:rsidRPr="14FFC04A">
        <w:rPr>
          <w:rFonts w:asciiTheme="minorHAnsi" w:hAnsiTheme="minorHAnsi"/>
        </w:rPr>
        <w:t xml:space="preserve">s i.e. </w:t>
      </w:r>
      <w:r w:rsidR="26D451EB" w:rsidRPr="14FFC04A">
        <w:rPr>
          <w:rFonts w:asciiTheme="minorHAnsi" w:hAnsiTheme="minorHAnsi"/>
        </w:rPr>
        <w:t>transgender people and people who inject/use drugs, men who have sex with other men and male/female/transgender sex workers</w:t>
      </w:r>
      <w:r w:rsidRPr="14FFC04A">
        <w:rPr>
          <w:rFonts w:asciiTheme="minorHAnsi" w:hAnsiTheme="minorHAnsi"/>
        </w:rPr>
        <w:t xml:space="preserve"> to register as service providers and delivery peer-to-peer support</w:t>
      </w:r>
      <w:r w:rsidR="00B2443E" w:rsidRPr="14FFC04A">
        <w:rPr>
          <w:rFonts w:asciiTheme="minorHAnsi" w:hAnsiTheme="minorHAnsi"/>
        </w:rPr>
        <w:t>?</w:t>
      </w:r>
    </w:p>
    <w:p w14:paraId="3963BEC6" w14:textId="365D9C81" w:rsidR="00DA6645" w:rsidRPr="007053EB" w:rsidRDefault="00DA6645" w:rsidP="14FFC04A">
      <w:pPr>
        <w:pStyle w:val="ListParagraph"/>
        <w:numPr>
          <w:ilvl w:val="1"/>
          <w:numId w:val="28"/>
        </w:numPr>
        <w:spacing w:line="240" w:lineRule="auto"/>
        <w:jc w:val="both"/>
        <w:rPr>
          <w:rFonts w:asciiTheme="minorHAnsi" w:hAnsiTheme="minorHAnsi"/>
        </w:rPr>
      </w:pPr>
      <w:r w:rsidRPr="14FFC04A">
        <w:rPr>
          <w:rFonts w:asciiTheme="minorHAnsi" w:hAnsiTheme="minorHAnsi"/>
        </w:rPr>
        <w:t xml:space="preserve">As per national policy and/or guidelines, are service packages </w:t>
      </w:r>
      <w:r w:rsidR="72E678F9" w:rsidRPr="14FFC04A">
        <w:rPr>
          <w:rFonts w:asciiTheme="minorHAnsi" w:hAnsiTheme="minorHAnsi"/>
        </w:rPr>
        <w:t xml:space="preserve">defined </w:t>
      </w:r>
      <w:r w:rsidRPr="14FFC04A">
        <w:rPr>
          <w:rFonts w:asciiTheme="minorHAnsi" w:hAnsiTheme="minorHAnsi"/>
        </w:rPr>
        <w:t>for CLOs/CBOs to implement?</w:t>
      </w:r>
    </w:p>
    <w:p w14:paraId="429A7391" w14:textId="34C889D0" w:rsidR="00DA6645" w:rsidRPr="007053EB" w:rsidRDefault="00DA6645" w:rsidP="14FFC04A">
      <w:pPr>
        <w:pStyle w:val="ListParagraph"/>
        <w:numPr>
          <w:ilvl w:val="1"/>
          <w:numId w:val="28"/>
        </w:numPr>
        <w:spacing w:line="240" w:lineRule="auto"/>
        <w:jc w:val="both"/>
        <w:rPr>
          <w:rFonts w:asciiTheme="minorHAnsi" w:hAnsiTheme="minorHAnsi"/>
        </w:rPr>
      </w:pPr>
      <w:r w:rsidRPr="14FFC04A">
        <w:rPr>
          <w:rFonts w:asciiTheme="minorHAnsi" w:hAnsiTheme="minorHAnsi"/>
        </w:rPr>
        <w:t>As per national policy and/or guidelines, are</w:t>
      </w:r>
      <w:r w:rsidR="00B2443E" w:rsidRPr="14FFC04A">
        <w:rPr>
          <w:rFonts w:asciiTheme="minorHAnsi" w:hAnsiTheme="minorHAnsi"/>
        </w:rPr>
        <w:t xml:space="preserve"> clear</w:t>
      </w:r>
      <w:r w:rsidRPr="14FFC04A">
        <w:rPr>
          <w:rFonts w:asciiTheme="minorHAnsi" w:hAnsiTheme="minorHAnsi"/>
        </w:rPr>
        <w:t xml:space="preserve"> targets </w:t>
      </w:r>
      <w:r w:rsidR="00B2443E" w:rsidRPr="14FFC04A">
        <w:rPr>
          <w:rFonts w:asciiTheme="minorHAnsi" w:hAnsiTheme="minorHAnsi"/>
        </w:rPr>
        <w:t xml:space="preserve">set </w:t>
      </w:r>
      <w:r w:rsidRPr="14FFC04A">
        <w:rPr>
          <w:rFonts w:asciiTheme="minorHAnsi" w:hAnsiTheme="minorHAnsi"/>
        </w:rPr>
        <w:t xml:space="preserve">for </w:t>
      </w:r>
      <w:r w:rsidR="00B2443E" w:rsidRPr="14FFC04A">
        <w:rPr>
          <w:rFonts w:asciiTheme="minorHAnsi" w:hAnsiTheme="minorHAnsi"/>
        </w:rPr>
        <w:t xml:space="preserve">the delivery of </w:t>
      </w:r>
      <w:r w:rsidRPr="14FFC04A">
        <w:rPr>
          <w:rFonts w:asciiTheme="minorHAnsi" w:hAnsiTheme="minorHAnsi"/>
        </w:rPr>
        <w:t>service packages by CLOs/CBOs?</w:t>
      </w:r>
    </w:p>
    <w:p w14:paraId="388020DE" w14:textId="50291AC8" w:rsidR="00DA6645" w:rsidRPr="007053EB" w:rsidRDefault="00DA6645" w:rsidP="14FFC04A">
      <w:pPr>
        <w:pStyle w:val="ListParagraph"/>
        <w:numPr>
          <w:ilvl w:val="1"/>
          <w:numId w:val="28"/>
        </w:numPr>
        <w:spacing w:line="240" w:lineRule="auto"/>
        <w:jc w:val="both"/>
        <w:rPr>
          <w:rFonts w:asciiTheme="minorHAnsi" w:hAnsiTheme="minorHAnsi"/>
        </w:rPr>
      </w:pPr>
      <w:r w:rsidRPr="14FFC04A">
        <w:rPr>
          <w:rFonts w:asciiTheme="minorHAnsi" w:hAnsiTheme="minorHAnsi"/>
        </w:rPr>
        <w:t xml:space="preserve">Do national reporting systems capture the contributions </w:t>
      </w:r>
      <w:r w:rsidR="00B2443E" w:rsidRPr="14FFC04A">
        <w:rPr>
          <w:rFonts w:asciiTheme="minorHAnsi" w:hAnsiTheme="minorHAnsi"/>
        </w:rPr>
        <w:t xml:space="preserve">of service delivery by </w:t>
      </w:r>
      <w:r w:rsidRPr="14FFC04A">
        <w:rPr>
          <w:rFonts w:asciiTheme="minorHAnsi" w:hAnsiTheme="minorHAnsi"/>
        </w:rPr>
        <w:t>CLOs/CBOs</w:t>
      </w:r>
      <w:r w:rsidR="00B2443E" w:rsidRPr="14FFC04A">
        <w:rPr>
          <w:rFonts w:asciiTheme="minorHAnsi" w:hAnsiTheme="minorHAnsi"/>
        </w:rPr>
        <w:t>?</w:t>
      </w:r>
    </w:p>
    <w:p w14:paraId="2679ACF5" w14:textId="25D78660" w:rsidR="00DA6645" w:rsidRPr="007053EB" w:rsidRDefault="00DA6645" w:rsidP="14FFC04A">
      <w:pPr>
        <w:pStyle w:val="ListParagraph"/>
        <w:numPr>
          <w:ilvl w:val="0"/>
          <w:numId w:val="29"/>
        </w:numPr>
        <w:spacing w:line="240" w:lineRule="auto"/>
        <w:jc w:val="both"/>
        <w:rPr>
          <w:rFonts w:asciiTheme="minorHAnsi" w:hAnsiTheme="minorHAnsi"/>
          <w:szCs w:val="24"/>
        </w:rPr>
      </w:pPr>
      <w:r w:rsidRPr="14FFC04A">
        <w:rPr>
          <w:rFonts w:asciiTheme="minorHAnsi" w:hAnsiTheme="minorHAnsi"/>
          <w:i/>
          <w:iCs/>
        </w:rPr>
        <w:t>Supportive implementation framework</w:t>
      </w:r>
      <w:r w:rsidRPr="14FFC04A">
        <w:rPr>
          <w:rFonts w:asciiTheme="minorHAnsi" w:hAnsiTheme="minorHAnsi"/>
          <w:b/>
          <w:bCs/>
        </w:rPr>
        <w:t>:</w:t>
      </w:r>
      <w:r w:rsidRPr="14FFC04A">
        <w:rPr>
          <w:rFonts w:asciiTheme="minorHAnsi" w:hAnsiTheme="minorHAnsi"/>
        </w:rPr>
        <w:t xml:space="preserve"> </w:t>
      </w:r>
    </w:p>
    <w:p w14:paraId="24ECF159" w14:textId="77777777" w:rsidR="00DA6645" w:rsidRPr="007053EB" w:rsidRDefault="00DA6645" w:rsidP="00DA6645">
      <w:pPr>
        <w:pStyle w:val="ListParagraph"/>
        <w:numPr>
          <w:ilvl w:val="1"/>
          <w:numId w:val="29"/>
        </w:numPr>
        <w:spacing w:line="240" w:lineRule="auto"/>
        <w:jc w:val="both"/>
        <w:rPr>
          <w:rFonts w:asciiTheme="minorHAnsi" w:hAnsiTheme="minorHAnsi" w:cstheme="minorHAnsi"/>
          <w:szCs w:val="24"/>
        </w:rPr>
      </w:pPr>
      <w:r w:rsidRPr="007053EB">
        <w:rPr>
          <w:rFonts w:asciiTheme="minorHAnsi" w:hAnsiTheme="minorHAnsi" w:cstheme="minorHAnsi"/>
          <w:szCs w:val="24"/>
        </w:rPr>
        <w:t>Does the program employ various community cadres (</w:t>
      </w:r>
      <w:proofErr w:type="spellStart"/>
      <w:r w:rsidRPr="007053EB">
        <w:rPr>
          <w:rFonts w:asciiTheme="minorHAnsi" w:hAnsiTheme="minorHAnsi" w:cstheme="minorHAnsi"/>
          <w:szCs w:val="24"/>
        </w:rPr>
        <w:t>eg.</w:t>
      </w:r>
      <w:proofErr w:type="spellEnd"/>
      <w:r w:rsidRPr="007053EB">
        <w:rPr>
          <w:rFonts w:asciiTheme="minorHAnsi" w:hAnsiTheme="minorHAnsi" w:cstheme="minorHAnsi"/>
          <w:szCs w:val="24"/>
        </w:rPr>
        <w:t xml:space="preserve"> HIV prevention peer educators, adherence support, TB active case finding, peer paralegal support, community volunteers for Malaria prevention/vector control campaigns)?</w:t>
      </w:r>
    </w:p>
    <w:p w14:paraId="30F39B9B" w14:textId="288FE0A8" w:rsidR="00DA6645" w:rsidRPr="007053EB" w:rsidRDefault="00DA6645" w:rsidP="14FFC04A">
      <w:pPr>
        <w:pStyle w:val="ListParagraph"/>
        <w:numPr>
          <w:ilvl w:val="2"/>
          <w:numId w:val="29"/>
        </w:numPr>
        <w:spacing w:line="240" w:lineRule="auto"/>
        <w:jc w:val="both"/>
        <w:rPr>
          <w:rFonts w:asciiTheme="minorHAnsi" w:hAnsiTheme="minorHAnsi"/>
        </w:rPr>
      </w:pPr>
      <w:r w:rsidRPr="14FFC04A">
        <w:rPr>
          <w:rFonts w:asciiTheme="minorHAnsi" w:hAnsiTheme="minorHAnsi"/>
        </w:rPr>
        <w:t xml:space="preserve">If so, does the program clearly define standard </w:t>
      </w:r>
      <w:proofErr w:type="gramStart"/>
      <w:r w:rsidRPr="14FFC04A">
        <w:rPr>
          <w:rFonts w:asciiTheme="minorHAnsi" w:hAnsiTheme="minorHAnsi"/>
        </w:rPr>
        <w:t>package</w:t>
      </w:r>
      <w:proofErr w:type="gramEnd"/>
      <w:r w:rsidRPr="14FFC04A">
        <w:rPr>
          <w:rFonts w:asciiTheme="minorHAnsi" w:hAnsiTheme="minorHAnsi"/>
        </w:rPr>
        <w:t xml:space="preserve"> of services to be delivered by community cadres?</w:t>
      </w:r>
    </w:p>
    <w:p w14:paraId="0CA54C99" w14:textId="77777777" w:rsidR="00DA6645" w:rsidRPr="007053EB" w:rsidRDefault="00DA6645" w:rsidP="00DA6645">
      <w:pPr>
        <w:pStyle w:val="ListParagraph"/>
        <w:numPr>
          <w:ilvl w:val="2"/>
          <w:numId w:val="29"/>
        </w:numPr>
        <w:spacing w:line="240" w:lineRule="auto"/>
        <w:jc w:val="both"/>
        <w:rPr>
          <w:rFonts w:asciiTheme="minorHAnsi" w:hAnsiTheme="minorHAnsi" w:cstheme="minorHAnsi"/>
          <w:szCs w:val="24"/>
        </w:rPr>
      </w:pPr>
      <w:r w:rsidRPr="007053EB">
        <w:rPr>
          <w:rFonts w:asciiTheme="minorHAnsi" w:hAnsiTheme="minorHAnsi" w:cstheme="minorHAnsi"/>
          <w:szCs w:val="24"/>
        </w:rPr>
        <w:t>If so, what types of payment modalities are used to remunerate these community cadres?</w:t>
      </w:r>
    </w:p>
    <w:p w14:paraId="3C784167" w14:textId="6FF32EB8" w:rsidR="00DA6645" w:rsidRPr="007053EB" w:rsidRDefault="00DA6645" w:rsidP="14FFC04A">
      <w:pPr>
        <w:pStyle w:val="ListParagraph"/>
        <w:numPr>
          <w:ilvl w:val="1"/>
          <w:numId w:val="29"/>
        </w:numPr>
        <w:spacing w:line="240" w:lineRule="auto"/>
        <w:jc w:val="both"/>
        <w:rPr>
          <w:rFonts w:asciiTheme="minorHAnsi" w:hAnsiTheme="minorHAnsi"/>
        </w:rPr>
      </w:pPr>
      <w:r w:rsidRPr="14FFC04A">
        <w:rPr>
          <w:rFonts w:asciiTheme="minorHAnsi" w:hAnsiTheme="minorHAnsi"/>
        </w:rPr>
        <w:t xml:space="preserve">Does the program have a Standard Operating Procedure to guide what services should be provided </w:t>
      </w:r>
      <w:r w:rsidR="32114655" w:rsidRPr="14FFC04A">
        <w:rPr>
          <w:rFonts w:asciiTheme="minorHAnsi" w:hAnsiTheme="minorHAnsi"/>
        </w:rPr>
        <w:t xml:space="preserve">at facility vs. </w:t>
      </w:r>
      <w:r w:rsidR="673E0EF7" w:rsidRPr="14FFC04A">
        <w:rPr>
          <w:rFonts w:asciiTheme="minorHAnsi" w:hAnsiTheme="minorHAnsi"/>
        </w:rPr>
        <w:t>C</w:t>
      </w:r>
      <w:r w:rsidR="32114655" w:rsidRPr="14FFC04A">
        <w:rPr>
          <w:rFonts w:asciiTheme="minorHAnsi" w:hAnsiTheme="minorHAnsi"/>
        </w:rPr>
        <w:t>ommunity</w:t>
      </w:r>
      <w:r w:rsidRPr="14FFC04A">
        <w:rPr>
          <w:rFonts w:asciiTheme="minorHAnsi" w:hAnsiTheme="minorHAnsi"/>
        </w:rPr>
        <w:t xml:space="preserve"> </w:t>
      </w:r>
      <w:r w:rsidR="673E0EF7" w:rsidRPr="14FFC04A">
        <w:rPr>
          <w:rFonts w:asciiTheme="minorHAnsi" w:hAnsiTheme="minorHAnsi"/>
        </w:rPr>
        <w:t xml:space="preserve">levels </w:t>
      </w:r>
      <w:r w:rsidRPr="14FFC04A">
        <w:rPr>
          <w:rFonts w:asciiTheme="minorHAnsi" w:hAnsiTheme="minorHAnsi"/>
        </w:rPr>
        <w:t>and provide considerations on pathways for linkage for services available at health facilities?</w:t>
      </w:r>
    </w:p>
    <w:p w14:paraId="6C71F29E" w14:textId="77777777" w:rsidR="00DA6645" w:rsidRPr="007053EB" w:rsidRDefault="00DA6645" w:rsidP="00DA6645">
      <w:pPr>
        <w:pStyle w:val="ListParagraph"/>
        <w:numPr>
          <w:ilvl w:val="1"/>
          <w:numId w:val="29"/>
        </w:numPr>
        <w:spacing w:line="240" w:lineRule="auto"/>
        <w:jc w:val="both"/>
        <w:rPr>
          <w:rFonts w:asciiTheme="minorHAnsi" w:hAnsiTheme="minorHAnsi" w:cstheme="minorHAnsi"/>
          <w:szCs w:val="24"/>
        </w:rPr>
      </w:pPr>
      <w:r w:rsidRPr="007053EB">
        <w:rPr>
          <w:rFonts w:asciiTheme="minorHAnsi" w:hAnsiTheme="minorHAnsi" w:cstheme="minorHAnsi"/>
          <w:szCs w:val="24"/>
        </w:rPr>
        <w:t>Are the roles and responsibilities of community cadres formally recognized at health facilities where they operate (e.g. through a formal MoU, specific directive, etc.)?</w:t>
      </w:r>
    </w:p>
    <w:p w14:paraId="6A758E4F" w14:textId="6DB071AF" w:rsidR="00DA6645" w:rsidRPr="007053EB" w:rsidRDefault="00DA6645" w:rsidP="14FFC04A">
      <w:pPr>
        <w:pStyle w:val="ListParagraph"/>
        <w:numPr>
          <w:ilvl w:val="0"/>
          <w:numId w:val="29"/>
        </w:numPr>
        <w:spacing w:line="240" w:lineRule="auto"/>
        <w:jc w:val="both"/>
        <w:rPr>
          <w:rFonts w:asciiTheme="minorHAnsi" w:hAnsiTheme="minorHAnsi"/>
          <w:b/>
          <w:bCs/>
        </w:rPr>
      </w:pPr>
      <w:r w:rsidRPr="14FFC04A">
        <w:rPr>
          <w:rFonts w:asciiTheme="minorHAnsi" w:hAnsiTheme="minorHAnsi"/>
        </w:rPr>
        <w:t xml:space="preserve">Is there a system in place at the PR/SRs/SSRs for recruitment, training, and supervision of community cadres? </w:t>
      </w:r>
    </w:p>
    <w:p w14:paraId="3AE150BB" w14:textId="3AA25544" w:rsidR="00DA6645" w:rsidRPr="007053EB" w:rsidRDefault="00DA6645" w:rsidP="14FFC04A">
      <w:pPr>
        <w:pStyle w:val="ListParagraph"/>
        <w:numPr>
          <w:ilvl w:val="0"/>
          <w:numId w:val="29"/>
        </w:numPr>
        <w:spacing w:line="240" w:lineRule="auto"/>
        <w:jc w:val="both"/>
        <w:rPr>
          <w:rFonts w:asciiTheme="minorHAnsi" w:hAnsiTheme="minorHAnsi"/>
        </w:rPr>
      </w:pPr>
      <w:r w:rsidRPr="14FFC04A">
        <w:rPr>
          <w:rFonts w:asciiTheme="minorHAnsi" w:hAnsiTheme="minorHAnsi"/>
        </w:rPr>
        <w:t>Does the program include joint planning between community and healthcare practitioners or facilities?</w:t>
      </w:r>
    </w:p>
    <w:p w14:paraId="70E2DC37" w14:textId="2C7BF5B7" w:rsidR="00DA6645" w:rsidRPr="007053EB" w:rsidRDefault="00DA6645" w:rsidP="14FFC04A">
      <w:pPr>
        <w:pStyle w:val="ListParagraph"/>
        <w:numPr>
          <w:ilvl w:val="0"/>
          <w:numId w:val="29"/>
        </w:numPr>
        <w:spacing w:line="240" w:lineRule="auto"/>
        <w:jc w:val="both"/>
        <w:rPr>
          <w:rFonts w:asciiTheme="minorHAnsi" w:hAnsiTheme="minorHAnsi"/>
        </w:rPr>
      </w:pPr>
      <w:r w:rsidRPr="14FFC04A">
        <w:rPr>
          <w:rFonts w:asciiTheme="minorHAnsi" w:hAnsiTheme="minorHAnsi"/>
        </w:rPr>
        <w:t>Are there specific efforts to develop relationship</w:t>
      </w:r>
      <w:r w:rsidR="00F53944" w:rsidRPr="14FFC04A">
        <w:rPr>
          <w:rFonts w:asciiTheme="minorHAnsi" w:hAnsiTheme="minorHAnsi"/>
        </w:rPr>
        <w:t>s</w:t>
      </w:r>
      <w:r w:rsidRPr="14FFC04A">
        <w:rPr>
          <w:rFonts w:asciiTheme="minorHAnsi" w:hAnsiTheme="minorHAnsi"/>
        </w:rPr>
        <w:t xml:space="preserve"> between community and health facilities? (e.g. Involvement of clinicians in the recruitment and training of community cadres, involvement of CLOs/CBOs in training of healthcare workers on human rights, stigma reduction in healthcare settings)?</w:t>
      </w:r>
    </w:p>
    <w:p w14:paraId="4A27125B" w14:textId="6306D19B" w:rsidR="00DA6645" w:rsidRPr="007053EB" w:rsidRDefault="00564301" w:rsidP="14FFC04A">
      <w:pPr>
        <w:pStyle w:val="ListParagraph"/>
        <w:numPr>
          <w:ilvl w:val="0"/>
          <w:numId w:val="29"/>
        </w:numPr>
        <w:spacing w:line="240" w:lineRule="auto"/>
        <w:jc w:val="both"/>
        <w:rPr>
          <w:rFonts w:asciiTheme="minorHAnsi" w:hAnsiTheme="minorHAnsi"/>
        </w:rPr>
      </w:pPr>
      <w:r w:rsidRPr="14FFC04A">
        <w:rPr>
          <w:rFonts w:asciiTheme="minorHAnsi" w:hAnsiTheme="minorHAnsi"/>
        </w:rPr>
        <w:t>D</w:t>
      </w:r>
      <w:r w:rsidR="00DA6645" w:rsidRPr="14FFC04A">
        <w:rPr>
          <w:rFonts w:asciiTheme="minorHAnsi" w:hAnsiTheme="minorHAnsi"/>
        </w:rPr>
        <w:t>oes activity reporting from community cadres link to activities conducted in health facilities? Is tracking of completed referrals and follow up of beneficiaries done effectively?</w:t>
      </w:r>
    </w:p>
    <w:p w14:paraId="57F807F2" w14:textId="41E39CA7" w:rsidR="00DA6645" w:rsidRPr="007053EB" w:rsidRDefault="00DA6645" w:rsidP="14FFC04A">
      <w:pPr>
        <w:jc w:val="both"/>
        <w:rPr>
          <w:rFonts w:asciiTheme="minorHAnsi" w:hAnsiTheme="minorHAnsi"/>
          <w:b/>
          <w:bCs/>
        </w:rPr>
      </w:pPr>
      <w:r w:rsidRPr="14FFC04A">
        <w:rPr>
          <w:rFonts w:asciiTheme="minorHAnsi" w:hAnsiTheme="minorHAnsi"/>
          <w:b/>
          <w:bCs/>
        </w:rPr>
        <w:t xml:space="preserve">3. </w:t>
      </w:r>
      <w:r w:rsidR="00564301" w:rsidRPr="14FFC04A">
        <w:rPr>
          <w:rFonts w:asciiTheme="minorHAnsi" w:hAnsiTheme="minorHAnsi"/>
          <w:b/>
          <w:bCs/>
        </w:rPr>
        <w:t xml:space="preserve">Adequate </w:t>
      </w:r>
      <w:r w:rsidRPr="14FFC04A">
        <w:rPr>
          <w:rFonts w:asciiTheme="minorHAnsi" w:hAnsiTheme="minorHAnsi"/>
          <w:b/>
          <w:bCs/>
        </w:rPr>
        <w:t>contractual modalities for CLOs/CBOs</w:t>
      </w:r>
    </w:p>
    <w:p w14:paraId="6155B56A" w14:textId="099C49D4" w:rsidR="00DA6645" w:rsidRPr="007053EB" w:rsidRDefault="00DA6645" w:rsidP="14FFC04A">
      <w:pPr>
        <w:pStyle w:val="ListParagraph"/>
        <w:numPr>
          <w:ilvl w:val="0"/>
          <w:numId w:val="30"/>
        </w:numPr>
        <w:spacing w:line="240" w:lineRule="auto"/>
        <w:jc w:val="both"/>
        <w:rPr>
          <w:rFonts w:asciiTheme="minorHAnsi" w:hAnsiTheme="minorHAnsi"/>
        </w:rPr>
      </w:pPr>
      <w:r w:rsidRPr="14FFC04A">
        <w:rPr>
          <w:rFonts w:asciiTheme="minorHAnsi" w:hAnsiTheme="minorHAnsi"/>
        </w:rPr>
        <w:t>What contractual modalities</w:t>
      </w:r>
      <w:r w:rsidR="00564301" w:rsidRPr="14FFC04A">
        <w:rPr>
          <w:rFonts w:asciiTheme="minorHAnsi" w:hAnsiTheme="minorHAnsi"/>
        </w:rPr>
        <w:t xml:space="preserve"> do</w:t>
      </w:r>
      <w:r w:rsidRPr="14FFC04A">
        <w:rPr>
          <w:rFonts w:asciiTheme="minorHAnsi" w:hAnsiTheme="minorHAnsi"/>
        </w:rPr>
        <w:t xml:space="preserve"> PR/SRs currently use for CLOs/CBOs</w:t>
      </w:r>
      <w:r w:rsidR="00564301" w:rsidRPr="14FFC04A">
        <w:rPr>
          <w:rFonts w:asciiTheme="minorHAnsi" w:hAnsiTheme="minorHAnsi"/>
        </w:rPr>
        <w:t xml:space="preserve">, </w:t>
      </w:r>
      <w:proofErr w:type="spellStart"/>
      <w:r w:rsidRPr="14FFC04A">
        <w:rPr>
          <w:rFonts w:asciiTheme="minorHAnsi" w:hAnsiTheme="minorHAnsi"/>
        </w:rPr>
        <w:t>eg.</w:t>
      </w:r>
      <w:proofErr w:type="spellEnd"/>
      <w:r w:rsidRPr="14FFC04A">
        <w:rPr>
          <w:rFonts w:asciiTheme="minorHAnsi" w:hAnsiTheme="minorHAnsi"/>
        </w:rPr>
        <w:t xml:space="preserve"> Service provider agreements, SR/SSR contracts, payment for results</w:t>
      </w:r>
      <w:r w:rsidR="00564301" w:rsidRPr="14FFC04A">
        <w:rPr>
          <w:rFonts w:asciiTheme="minorHAnsi" w:hAnsiTheme="minorHAnsi"/>
        </w:rPr>
        <w:t>?</w:t>
      </w:r>
    </w:p>
    <w:p w14:paraId="301D8FEE" w14:textId="48DE6530" w:rsidR="00DA6645" w:rsidRPr="007053EB" w:rsidRDefault="00DA6645" w:rsidP="14FFC04A">
      <w:pPr>
        <w:pStyle w:val="ListParagraph"/>
        <w:numPr>
          <w:ilvl w:val="0"/>
          <w:numId w:val="30"/>
        </w:numPr>
        <w:spacing w:line="240" w:lineRule="auto"/>
        <w:jc w:val="both"/>
        <w:rPr>
          <w:rFonts w:asciiTheme="minorHAnsi" w:hAnsiTheme="minorHAnsi"/>
        </w:rPr>
      </w:pPr>
      <w:r w:rsidRPr="14FFC04A">
        <w:rPr>
          <w:rFonts w:asciiTheme="minorHAnsi" w:hAnsiTheme="minorHAnsi"/>
        </w:rPr>
        <w:t>Does the PR/SRs have a procurement system that allows for different maturity of CLOs/CBOs to be selected as part of the implementation arrangements?</w:t>
      </w:r>
    </w:p>
    <w:p w14:paraId="792770EE" w14:textId="5B0DDC0D" w:rsidR="00DA6645" w:rsidRPr="007053EB" w:rsidRDefault="00564301" w:rsidP="14FFC04A">
      <w:pPr>
        <w:pStyle w:val="ListParagraph"/>
        <w:numPr>
          <w:ilvl w:val="0"/>
          <w:numId w:val="30"/>
        </w:numPr>
        <w:spacing w:line="240" w:lineRule="auto"/>
        <w:jc w:val="both"/>
        <w:rPr>
          <w:rFonts w:asciiTheme="minorHAnsi" w:hAnsiTheme="minorHAnsi"/>
        </w:rPr>
      </w:pPr>
      <w:r w:rsidRPr="14FFC04A">
        <w:rPr>
          <w:rFonts w:asciiTheme="minorHAnsi" w:hAnsiTheme="minorHAnsi"/>
          <w:i/>
          <w:iCs/>
        </w:rPr>
        <w:lastRenderedPageBreak/>
        <w:t>I</w:t>
      </w:r>
      <w:r w:rsidR="00DA6645" w:rsidRPr="14FFC04A">
        <w:rPr>
          <w:rFonts w:asciiTheme="minorHAnsi" w:hAnsiTheme="minorHAnsi"/>
          <w:i/>
          <w:iCs/>
        </w:rPr>
        <w:t>n grants where there is limited no. of CLOs in the implementation structures</w:t>
      </w:r>
      <w:r w:rsidRPr="14FFC04A">
        <w:rPr>
          <w:rFonts w:asciiTheme="minorHAnsi" w:hAnsiTheme="minorHAnsi"/>
        </w:rPr>
        <w:t>:</w:t>
      </w:r>
      <w:r w:rsidR="00DA6645" w:rsidRPr="14FFC04A">
        <w:rPr>
          <w:rFonts w:asciiTheme="minorHAnsi" w:hAnsiTheme="minorHAnsi"/>
        </w:rPr>
        <w:t xml:space="preserve"> What are the key barriers/disincentives to contracting CLOs, </w:t>
      </w:r>
      <w:proofErr w:type="spellStart"/>
      <w:r w:rsidR="00DA6645" w:rsidRPr="14FFC04A">
        <w:rPr>
          <w:rFonts w:asciiTheme="minorHAnsi" w:hAnsiTheme="minorHAnsi"/>
        </w:rPr>
        <w:t>eg.</w:t>
      </w:r>
      <w:proofErr w:type="spellEnd"/>
      <w:r w:rsidR="00DA6645" w:rsidRPr="14FFC04A">
        <w:rPr>
          <w:rFonts w:asciiTheme="minorHAnsi" w:hAnsiTheme="minorHAnsi"/>
        </w:rPr>
        <w:t xml:space="preserve"> a requirement for having a registered Bank account, a requirement for having a registered office address? </w:t>
      </w:r>
    </w:p>
    <w:p w14:paraId="792441A2" w14:textId="77777777" w:rsidR="00DA6645" w:rsidRPr="007053EB" w:rsidRDefault="00DA6645" w:rsidP="00DA6645">
      <w:pPr>
        <w:jc w:val="both"/>
        <w:rPr>
          <w:rFonts w:asciiTheme="minorHAnsi" w:hAnsiTheme="minorHAnsi" w:cstheme="minorHAnsi"/>
          <w:b/>
          <w:bCs/>
          <w:szCs w:val="24"/>
        </w:rPr>
      </w:pPr>
      <w:r w:rsidRPr="007053EB">
        <w:rPr>
          <w:rFonts w:asciiTheme="minorHAnsi" w:hAnsiTheme="minorHAnsi" w:cstheme="minorHAnsi"/>
          <w:b/>
          <w:bCs/>
          <w:szCs w:val="24"/>
        </w:rPr>
        <w:t>4. Measuring contributions of CLOs/CBOs in service delivery</w:t>
      </w:r>
    </w:p>
    <w:p w14:paraId="7EF6E8B2" w14:textId="77777777" w:rsidR="00DA6645" w:rsidRPr="007053EB" w:rsidRDefault="00DA6645" w:rsidP="00DA6645">
      <w:pPr>
        <w:pStyle w:val="ListParagraph"/>
        <w:numPr>
          <w:ilvl w:val="0"/>
          <w:numId w:val="27"/>
        </w:numPr>
        <w:spacing w:line="240" w:lineRule="auto"/>
        <w:jc w:val="both"/>
        <w:rPr>
          <w:rFonts w:asciiTheme="minorHAnsi" w:hAnsiTheme="minorHAnsi" w:cstheme="minorHAnsi"/>
          <w:szCs w:val="24"/>
        </w:rPr>
      </w:pPr>
      <w:r w:rsidRPr="007053EB">
        <w:rPr>
          <w:rFonts w:asciiTheme="minorHAnsi" w:hAnsiTheme="minorHAnsi" w:cstheme="minorHAnsi"/>
          <w:szCs w:val="24"/>
        </w:rPr>
        <w:t>Is data from CLOs/CBOs service providers fed into provincial/district level health information systems (</w:t>
      </w:r>
      <w:proofErr w:type="spellStart"/>
      <w:r w:rsidRPr="007053EB">
        <w:rPr>
          <w:rFonts w:asciiTheme="minorHAnsi" w:hAnsiTheme="minorHAnsi" w:cstheme="minorHAnsi"/>
          <w:szCs w:val="24"/>
        </w:rPr>
        <w:t>eg.</w:t>
      </w:r>
      <w:proofErr w:type="spellEnd"/>
      <w:r w:rsidRPr="007053EB">
        <w:rPr>
          <w:rFonts w:asciiTheme="minorHAnsi" w:hAnsiTheme="minorHAnsi" w:cstheme="minorHAnsi"/>
          <w:szCs w:val="24"/>
        </w:rPr>
        <w:t xml:space="preserve"> Health facilities include data on referrals by CHWs and/or community volunteers)?</w:t>
      </w:r>
    </w:p>
    <w:p w14:paraId="6149F6D0" w14:textId="2D9A1DB6" w:rsidR="00DA6645" w:rsidRPr="007053EB" w:rsidRDefault="00DA6645" w:rsidP="14FFC04A">
      <w:pPr>
        <w:pStyle w:val="ListParagraph"/>
        <w:numPr>
          <w:ilvl w:val="0"/>
          <w:numId w:val="27"/>
        </w:numPr>
        <w:spacing w:line="240" w:lineRule="auto"/>
        <w:jc w:val="both"/>
        <w:rPr>
          <w:rFonts w:asciiTheme="minorHAnsi" w:hAnsiTheme="minorHAnsi"/>
        </w:rPr>
      </w:pPr>
      <w:r w:rsidRPr="14FFC04A">
        <w:rPr>
          <w:rFonts w:asciiTheme="minorHAnsi" w:hAnsiTheme="minorHAnsi"/>
        </w:rPr>
        <w:t xml:space="preserve">As part of regular program monitoring, do PR/SRs capture contributions from CLOs/CBOs in </w:t>
      </w:r>
      <w:proofErr w:type="gramStart"/>
      <w:r w:rsidRPr="14FFC04A">
        <w:rPr>
          <w:rFonts w:asciiTheme="minorHAnsi" w:hAnsiTheme="minorHAnsi"/>
        </w:rPr>
        <w:t>key service</w:t>
      </w:r>
      <w:proofErr w:type="gramEnd"/>
      <w:r w:rsidRPr="14FFC04A">
        <w:rPr>
          <w:rFonts w:asciiTheme="minorHAnsi" w:hAnsiTheme="minorHAnsi"/>
        </w:rPr>
        <w:t xml:space="preserve"> delivery areas of the programs? Does the reporting tool capture coverage data disaggregated by CLOs/CBOs (</w:t>
      </w:r>
      <w:proofErr w:type="spellStart"/>
      <w:r w:rsidRPr="14FFC04A">
        <w:rPr>
          <w:rFonts w:asciiTheme="minorHAnsi" w:hAnsiTheme="minorHAnsi"/>
        </w:rPr>
        <w:t>eg.</w:t>
      </w:r>
      <w:proofErr w:type="spellEnd"/>
      <w:r w:rsidRPr="14FFC04A">
        <w:rPr>
          <w:rFonts w:asciiTheme="minorHAnsi" w:hAnsiTheme="minorHAnsi"/>
        </w:rPr>
        <w:t xml:space="preserve"> clients reached through CLOs/CBOs demand generation activities, case notification contributed by community referrals)</w:t>
      </w:r>
    </w:p>
    <w:p w14:paraId="6D8E7708" w14:textId="77777777" w:rsidR="00DA6645" w:rsidRPr="007053EB" w:rsidRDefault="00DA6645" w:rsidP="00DA6645">
      <w:pPr>
        <w:pStyle w:val="ListParagraph"/>
        <w:numPr>
          <w:ilvl w:val="1"/>
          <w:numId w:val="27"/>
        </w:numPr>
        <w:spacing w:line="240" w:lineRule="auto"/>
        <w:jc w:val="both"/>
        <w:rPr>
          <w:rFonts w:asciiTheme="minorHAnsi" w:hAnsiTheme="minorHAnsi" w:cstheme="minorHAnsi"/>
          <w:szCs w:val="24"/>
        </w:rPr>
      </w:pPr>
      <w:r w:rsidRPr="007053EB">
        <w:rPr>
          <w:rFonts w:asciiTheme="minorHAnsi" w:hAnsiTheme="minorHAnsi" w:cstheme="minorHAnsi"/>
          <w:szCs w:val="24"/>
        </w:rPr>
        <w:t xml:space="preserve">If it does, does the program regularly </w:t>
      </w:r>
      <w:proofErr w:type="spellStart"/>
      <w:r w:rsidRPr="007053EB">
        <w:rPr>
          <w:rFonts w:asciiTheme="minorHAnsi" w:hAnsiTheme="minorHAnsi" w:cstheme="minorHAnsi"/>
          <w:szCs w:val="24"/>
        </w:rPr>
        <w:t>analyse</w:t>
      </w:r>
      <w:proofErr w:type="spellEnd"/>
      <w:r w:rsidRPr="007053EB">
        <w:rPr>
          <w:rFonts w:asciiTheme="minorHAnsi" w:hAnsiTheme="minorHAnsi" w:cstheme="minorHAnsi"/>
          <w:szCs w:val="24"/>
        </w:rPr>
        <w:t xml:space="preserve"> the data and apply measures for improvement?</w:t>
      </w:r>
    </w:p>
    <w:p w14:paraId="0D795636" w14:textId="77777777" w:rsidR="00DA6645" w:rsidRPr="007053EB" w:rsidRDefault="00DA6645" w:rsidP="00FC76C9">
      <w:pPr>
        <w:jc w:val="both"/>
        <w:rPr>
          <w:rFonts w:asciiTheme="minorHAnsi" w:hAnsiTheme="minorHAnsi" w:cstheme="minorHAnsi"/>
          <w:b/>
          <w:bCs/>
          <w:szCs w:val="24"/>
        </w:rPr>
      </w:pPr>
      <w:r w:rsidRPr="007053EB">
        <w:rPr>
          <w:rFonts w:asciiTheme="minorHAnsi" w:hAnsiTheme="minorHAnsi" w:cstheme="minorHAnsi"/>
          <w:b/>
          <w:bCs/>
          <w:szCs w:val="24"/>
        </w:rPr>
        <w:t>5. Capacity Building and Leadership Development</w:t>
      </w:r>
    </w:p>
    <w:p w14:paraId="02ED031A" w14:textId="77777777" w:rsidR="00DA6645" w:rsidRPr="007053EB" w:rsidRDefault="00DA6645" w:rsidP="00FC76C9">
      <w:pPr>
        <w:pStyle w:val="ListParagraph"/>
        <w:numPr>
          <w:ilvl w:val="0"/>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Are capacity gaps of community-led and community-based organizations systematically mapped through an assessment prior to or during grant implementation?</w:t>
      </w:r>
    </w:p>
    <w:p w14:paraId="6C8E5177" w14:textId="7CA46C96" w:rsidR="00DA6645" w:rsidRPr="007053EB" w:rsidRDefault="00DA6645" w:rsidP="14FFC04A">
      <w:pPr>
        <w:numPr>
          <w:ilvl w:val="0"/>
          <w:numId w:val="26"/>
        </w:numPr>
        <w:spacing w:line="240" w:lineRule="auto"/>
        <w:jc w:val="both"/>
        <w:rPr>
          <w:rFonts w:asciiTheme="minorHAnsi" w:hAnsiTheme="minorHAnsi"/>
          <w:szCs w:val="24"/>
        </w:rPr>
      </w:pPr>
      <w:r w:rsidRPr="14FFC04A">
        <w:rPr>
          <w:rFonts w:asciiTheme="minorHAnsi" w:hAnsiTheme="minorHAnsi"/>
        </w:rPr>
        <w:t>Are capacity building and leadership development-related activities implemented in line with national standards or guidelines?</w:t>
      </w:r>
    </w:p>
    <w:p w14:paraId="2AD82FDA" w14:textId="77777777" w:rsidR="00DA6645" w:rsidRPr="007053EB" w:rsidRDefault="00DA6645" w:rsidP="00DA6645">
      <w:pPr>
        <w:pStyle w:val="ListParagraph"/>
        <w:numPr>
          <w:ilvl w:val="0"/>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If such standards and/or guidelines do not exist, has the program put in place a robust capacity building curriculum which;</w:t>
      </w:r>
    </w:p>
    <w:p w14:paraId="42B08E25" w14:textId="77777777" w:rsidR="00DA6645" w:rsidRPr="007053EB" w:rsidRDefault="00DA6645" w:rsidP="00DA6645">
      <w:pPr>
        <w:pStyle w:val="ListParagraph"/>
        <w:numPr>
          <w:ilvl w:val="1"/>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Focuses on core capacities and competencies required for CLOs/CBOs to deliver services?</w:t>
      </w:r>
    </w:p>
    <w:p w14:paraId="0A49F404" w14:textId="04BD106E" w:rsidR="00DA6645" w:rsidRPr="007053EB" w:rsidRDefault="00DA6645" w:rsidP="14FFC04A">
      <w:pPr>
        <w:pStyle w:val="ListParagraph"/>
        <w:numPr>
          <w:ilvl w:val="1"/>
          <w:numId w:val="26"/>
        </w:numPr>
        <w:spacing w:line="240" w:lineRule="auto"/>
        <w:jc w:val="both"/>
        <w:rPr>
          <w:rFonts w:asciiTheme="minorHAnsi" w:hAnsiTheme="minorHAnsi"/>
        </w:rPr>
      </w:pPr>
      <w:r w:rsidRPr="14FFC04A">
        <w:rPr>
          <w:rFonts w:asciiTheme="minorHAnsi" w:hAnsiTheme="minorHAnsi"/>
        </w:rPr>
        <w:t>Differentiates based on the maturity of organizations (</w:t>
      </w:r>
      <w:proofErr w:type="spellStart"/>
      <w:proofErr w:type="gramStart"/>
      <w:r w:rsidRPr="14FFC04A">
        <w:rPr>
          <w:rFonts w:asciiTheme="minorHAnsi" w:hAnsiTheme="minorHAnsi"/>
        </w:rPr>
        <w:t>eg</w:t>
      </w:r>
      <w:proofErr w:type="gramEnd"/>
      <w:r w:rsidRPr="14FFC04A">
        <w:rPr>
          <w:rFonts w:asciiTheme="minorHAnsi" w:hAnsiTheme="minorHAnsi"/>
        </w:rPr>
        <w:t>.</w:t>
      </w:r>
      <w:proofErr w:type="spellEnd"/>
      <w:r w:rsidRPr="14FFC04A">
        <w:rPr>
          <w:rFonts w:asciiTheme="minorHAnsi" w:hAnsiTheme="minorHAnsi"/>
        </w:rPr>
        <w:t xml:space="preserve"> </w:t>
      </w:r>
      <w:r w:rsidR="009F4827" w:rsidRPr="14FFC04A">
        <w:rPr>
          <w:rFonts w:asciiTheme="minorHAnsi" w:hAnsiTheme="minorHAnsi"/>
        </w:rPr>
        <w:t>s</w:t>
      </w:r>
      <w:r w:rsidRPr="14FFC04A">
        <w:rPr>
          <w:rFonts w:asciiTheme="minorHAnsi" w:hAnsiTheme="minorHAnsi"/>
        </w:rPr>
        <w:t>mall-size, medium size, non-registered, lower/higher financial management capacity)?</w:t>
      </w:r>
    </w:p>
    <w:p w14:paraId="5222F75F" w14:textId="77777777" w:rsidR="00DA6645" w:rsidRPr="007053EB" w:rsidRDefault="00DA6645" w:rsidP="00DA6645">
      <w:pPr>
        <w:pStyle w:val="ListParagraph"/>
        <w:numPr>
          <w:ilvl w:val="1"/>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Combines technical, programmatic, governance, financial and project management, sustainability planning, M&amp;E and learning?</w:t>
      </w:r>
    </w:p>
    <w:p w14:paraId="2278E103" w14:textId="77777777" w:rsidR="00DA6645" w:rsidRPr="007053EB" w:rsidRDefault="00DA6645" w:rsidP="00DA6645">
      <w:pPr>
        <w:pStyle w:val="ListParagraph"/>
        <w:numPr>
          <w:ilvl w:val="2"/>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Particularly for CLOs and CBOs delivering HIV-related services to key populations, does the capacity building activity focus on security of implementers and beneficiaries in line with the GF implementation guidance on security?</w:t>
      </w:r>
      <w:r w:rsidRPr="007053EB">
        <w:rPr>
          <w:rStyle w:val="FootnoteReference"/>
          <w:rFonts w:asciiTheme="minorHAnsi" w:hAnsiTheme="minorHAnsi" w:cstheme="minorHAnsi"/>
          <w:szCs w:val="24"/>
        </w:rPr>
        <w:footnoteReference w:id="3"/>
      </w:r>
    </w:p>
    <w:p w14:paraId="125D0057" w14:textId="5C6AE117" w:rsidR="00DA6645" w:rsidRPr="007053EB" w:rsidRDefault="00DA6645" w:rsidP="14FFC04A">
      <w:pPr>
        <w:pStyle w:val="ListParagraph"/>
        <w:numPr>
          <w:ilvl w:val="2"/>
          <w:numId w:val="26"/>
        </w:numPr>
        <w:spacing w:line="240" w:lineRule="auto"/>
        <w:jc w:val="both"/>
        <w:rPr>
          <w:rFonts w:asciiTheme="minorHAnsi" w:hAnsiTheme="minorHAnsi"/>
        </w:rPr>
      </w:pPr>
      <w:r w:rsidRPr="14FFC04A">
        <w:rPr>
          <w:rFonts w:asciiTheme="minorHAnsi" w:hAnsiTheme="minorHAnsi"/>
        </w:rPr>
        <w:t xml:space="preserve">Does it include </w:t>
      </w:r>
      <w:proofErr w:type="gramStart"/>
      <w:r w:rsidRPr="14FFC04A">
        <w:rPr>
          <w:rFonts w:asciiTheme="minorHAnsi" w:hAnsiTheme="minorHAnsi"/>
        </w:rPr>
        <w:t>most</w:t>
      </w:r>
      <w:proofErr w:type="gramEnd"/>
      <w:r w:rsidRPr="14FFC04A">
        <w:rPr>
          <w:rFonts w:asciiTheme="minorHAnsi" w:hAnsiTheme="minorHAnsi"/>
        </w:rPr>
        <w:t xml:space="preserve"> up-to-date technical and programmatic areas related to the services that CLOs/CBOs deliver? (</w:t>
      </w:r>
      <w:proofErr w:type="spellStart"/>
      <w:proofErr w:type="gramStart"/>
      <w:r w:rsidRPr="14FFC04A">
        <w:rPr>
          <w:rFonts w:asciiTheme="minorHAnsi" w:hAnsiTheme="minorHAnsi"/>
        </w:rPr>
        <w:t>eg</w:t>
      </w:r>
      <w:proofErr w:type="gramEnd"/>
      <w:r w:rsidRPr="14FFC04A">
        <w:rPr>
          <w:rFonts w:asciiTheme="minorHAnsi" w:hAnsiTheme="minorHAnsi"/>
        </w:rPr>
        <w:t>.</w:t>
      </w:r>
      <w:proofErr w:type="spellEnd"/>
      <w:r w:rsidRPr="14FFC04A">
        <w:rPr>
          <w:rFonts w:asciiTheme="minorHAnsi" w:hAnsiTheme="minorHAnsi"/>
        </w:rPr>
        <w:t xml:space="preserve"> HIV prevention)?</w:t>
      </w:r>
    </w:p>
    <w:p w14:paraId="14E2D1B0" w14:textId="77777777" w:rsidR="00DA6645" w:rsidRPr="007053EB" w:rsidRDefault="00DA6645" w:rsidP="00DA6645">
      <w:pPr>
        <w:pStyle w:val="ListParagraph"/>
        <w:numPr>
          <w:ilvl w:val="2"/>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Are training packages, including refresher training and supportive supervision, provided consistently over the course of grant implementation?</w:t>
      </w:r>
    </w:p>
    <w:p w14:paraId="5C931CBC" w14:textId="1544A9F7" w:rsidR="00DA6645" w:rsidRPr="007053EB" w:rsidRDefault="00DA6645" w:rsidP="00DA6645">
      <w:pPr>
        <w:pStyle w:val="ListParagraph"/>
        <w:numPr>
          <w:ilvl w:val="0"/>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lastRenderedPageBreak/>
        <w:t xml:space="preserve">Are CLOs/CBOs selected to benefit from capacity building and leadership development activities based on a set of criteria, including transparency and inclusiveness? </w:t>
      </w:r>
    </w:p>
    <w:p w14:paraId="12C2434C" w14:textId="0639322A" w:rsidR="00DA6645" w:rsidRPr="007053EB" w:rsidRDefault="00DA6645" w:rsidP="00DA6645">
      <w:pPr>
        <w:pStyle w:val="ListParagraph"/>
        <w:numPr>
          <w:ilvl w:val="0"/>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 xml:space="preserve">Does the PR measure the outcomes and impact of capacity building and leadership development activities for CLOs and CBOs as part of the overall M&amp;E framework </w:t>
      </w:r>
    </w:p>
    <w:p w14:paraId="419C7CC5" w14:textId="77777777" w:rsidR="00DA6645" w:rsidRPr="007053EB" w:rsidRDefault="00DA6645" w:rsidP="00DA6645">
      <w:pPr>
        <w:pStyle w:val="ListParagraph"/>
        <w:numPr>
          <w:ilvl w:val="1"/>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 xml:space="preserve">Outcomes, </w:t>
      </w:r>
      <w:proofErr w:type="spellStart"/>
      <w:r w:rsidRPr="007053EB">
        <w:rPr>
          <w:rFonts w:asciiTheme="minorHAnsi" w:hAnsiTheme="minorHAnsi" w:cstheme="minorHAnsi"/>
          <w:szCs w:val="24"/>
        </w:rPr>
        <w:t>eg.</w:t>
      </w:r>
      <w:proofErr w:type="spellEnd"/>
      <w:r w:rsidRPr="007053EB">
        <w:rPr>
          <w:rFonts w:asciiTheme="minorHAnsi" w:hAnsiTheme="minorHAnsi" w:cstheme="minorHAnsi"/>
          <w:szCs w:val="24"/>
        </w:rPr>
        <w:t xml:space="preserve"> improvement in service coverage and quality </w:t>
      </w:r>
      <w:proofErr w:type="gramStart"/>
      <w:r w:rsidRPr="007053EB">
        <w:rPr>
          <w:rFonts w:asciiTheme="minorHAnsi" w:hAnsiTheme="minorHAnsi" w:cstheme="minorHAnsi"/>
          <w:szCs w:val="24"/>
        </w:rPr>
        <w:t>as a result of</w:t>
      </w:r>
      <w:proofErr w:type="gramEnd"/>
      <w:r w:rsidRPr="007053EB">
        <w:rPr>
          <w:rFonts w:asciiTheme="minorHAnsi" w:hAnsiTheme="minorHAnsi" w:cstheme="minorHAnsi"/>
          <w:szCs w:val="24"/>
        </w:rPr>
        <w:t xml:space="preserve"> better capacitated CLOs/CBOs, or;</w:t>
      </w:r>
    </w:p>
    <w:p w14:paraId="2B6B7A51" w14:textId="77777777" w:rsidR="00DA6645" w:rsidRPr="007053EB" w:rsidRDefault="00DA6645" w:rsidP="00DA6645">
      <w:pPr>
        <w:pStyle w:val="ListParagraph"/>
        <w:numPr>
          <w:ilvl w:val="1"/>
          <w:numId w:val="26"/>
        </w:numPr>
        <w:spacing w:line="240" w:lineRule="auto"/>
        <w:jc w:val="both"/>
        <w:rPr>
          <w:rFonts w:asciiTheme="minorHAnsi" w:hAnsiTheme="minorHAnsi" w:cstheme="minorHAnsi"/>
          <w:szCs w:val="24"/>
        </w:rPr>
      </w:pPr>
      <w:r w:rsidRPr="007053EB">
        <w:rPr>
          <w:rFonts w:asciiTheme="minorHAnsi" w:hAnsiTheme="minorHAnsi" w:cstheme="minorHAnsi"/>
          <w:szCs w:val="24"/>
        </w:rPr>
        <w:t>Impact, e.g. sustainability of organizations through mobilization of additional funding, amongst others</w:t>
      </w:r>
    </w:p>
    <w:p w14:paraId="55404CB7" w14:textId="478FA284" w:rsidR="00DA6645" w:rsidRPr="007053EB" w:rsidRDefault="00DA6645" w:rsidP="00FC76C9">
      <w:pPr>
        <w:pStyle w:val="ListParagraph"/>
        <w:numPr>
          <w:ilvl w:val="0"/>
          <w:numId w:val="26"/>
        </w:numPr>
        <w:spacing w:after="120" w:line="240" w:lineRule="auto"/>
        <w:jc w:val="both"/>
        <w:rPr>
          <w:rFonts w:asciiTheme="minorHAnsi" w:hAnsiTheme="minorHAnsi"/>
        </w:rPr>
      </w:pPr>
      <w:r w:rsidRPr="14FFC04A">
        <w:rPr>
          <w:rFonts w:asciiTheme="minorHAnsi" w:hAnsiTheme="minorHAnsi"/>
          <w:i/>
          <w:iCs/>
        </w:rPr>
        <w:t xml:space="preserve">In portfolios where CLOs, including KP-led </w:t>
      </w:r>
      <w:proofErr w:type="gramStart"/>
      <w:r w:rsidRPr="14FFC04A">
        <w:rPr>
          <w:rFonts w:asciiTheme="minorHAnsi" w:hAnsiTheme="minorHAnsi"/>
          <w:i/>
          <w:iCs/>
        </w:rPr>
        <w:t>organizations</w:t>
      </w:r>
      <w:proofErr w:type="gramEnd"/>
      <w:r w:rsidRPr="14FFC04A">
        <w:rPr>
          <w:rFonts w:asciiTheme="minorHAnsi" w:hAnsiTheme="minorHAnsi"/>
          <w:i/>
          <w:iCs/>
        </w:rPr>
        <w:t xml:space="preserve"> are not included in the implementation arrangements</w:t>
      </w:r>
      <w:r w:rsidR="009F4827" w:rsidRPr="14FFC04A">
        <w:rPr>
          <w:rFonts w:asciiTheme="minorHAnsi" w:hAnsiTheme="minorHAnsi"/>
        </w:rPr>
        <w:t>:</w:t>
      </w:r>
      <w:r w:rsidRPr="14FFC04A">
        <w:rPr>
          <w:rFonts w:asciiTheme="minorHAnsi" w:hAnsiTheme="minorHAnsi"/>
        </w:rPr>
        <w:t xml:space="preserve"> does </w:t>
      </w:r>
      <w:r w:rsidR="009F4827" w:rsidRPr="14FFC04A">
        <w:rPr>
          <w:rFonts w:asciiTheme="minorHAnsi" w:hAnsiTheme="minorHAnsi"/>
        </w:rPr>
        <w:t xml:space="preserve">the </w:t>
      </w:r>
      <w:r w:rsidRPr="14FFC04A">
        <w:rPr>
          <w:rFonts w:asciiTheme="minorHAnsi" w:hAnsiTheme="minorHAnsi"/>
        </w:rPr>
        <w:t>PR provide onboarding training, support and supervision, mentorship, coaching and reporting to strengthen the grant management capacity of CLOs, including KP-led organizations?</w:t>
      </w:r>
    </w:p>
    <w:p w14:paraId="6179AAD3" w14:textId="77777777" w:rsidR="00FC76C9" w:rsidRDefault="00FC76C9" w:rsidP="00FC76C9">
      <w:pPr>
        <w:spacing w:after="120"/>
        <w:jc w:val="both"/>
        <w:rPr>
          <w:rFonts w:asciiTheme="minorHAnsi" w:hAnsiTheme="minorHAnsi"/>
          <w:b/>
          <w:bCs/>
        </w:rPr>
      </w:pPr>
    </w:p>
    <w:p w14:paraId="1ECBF9C6" w14:textId="18AA89EB" w:rsidR="00DA6645" w:rsidRPr="007053EB" w:rsidRDefault="009F4827" w:rsidP="14FFC04A">
      <w:pPr>
        <w:jc w:val="both"/>
        <w:rPr>
          <w:rFonts w:asciiTheme="minorHAnsi" w:hAnsiTheme="minorHAnsi"/>
        </w:rPr>
      </w:pPr>
      <w:r w:rsidRPr="14FFC04A">
        <w:rPr>
          <w:rFonts w:asciiTheme="minorHAnsi" w:hAnsiTheme="minorHAnsi"/>
          <w:b/>
          <w:bCs/>
        </w:rPr>
        <w:t>Methodology:</w:t>
      </w:r>
      <w:r w:rsidR="00DA6645" w:rsidRPr="14FFC04A">
        <w:rPr>
          <w:rFonts w:asciiTheme="minorHAnsi" w:hAnsiTheme="minorHAnsi"/>
        </w:rPr>
        <w:t xml:space="preserve"> </w:t>
      </w:r>
    </w:p>
    <w:p w14:paraId="53454109" w14:textId="47EE8419" w:rsidR="00DA6645" w:rsidRPr="007053EB" w:rsidRDefault="00DA6645" w:rsidP="009F66E0">
      <w:pPr>
        <w:numPr>
          <w:ilvl w:val="0"/>
          <w:numId w:val="32"/>
        </w:numPr>
        <w:spacing w:after="0" w:line="240" w:lineRule="auto"/>
        <w:jc w:val="both"/>
        <w:rPr>
          <w:rFonts w:asciiTheme="minorHAnsi" w:hAnsiTheme="minorHAnsi"/>
          <w:szCs w:val="24"/>
        </w:rPr>
      </w:pPr>
      <w:r w:rsidRPr="14FFC04A">
        <w:rPr>
          <w:rFonts w:asciiTheme="minorHAnsi" w:hAnsiTheme="minorHAnsi"/>
        </w:rPr>
        <w:t xml:space="preserve">Desk review of alignment to national strategic plans and </w:t>
      </w:r>
      <w:r w:rsidR="58FF45ED" w:rsidRPr="14FFC04A">
        <w:rPr>
          <w:rFonts w:asciiTheme="minorHAnsi" w:hAnsiTheme="minorHAnsi"/>
        </w:rPr>
        <w:t xml:space="preserve">normative </w:t>
      </w:r>
      <w:r w:rsidRPr="14FFC04A">
        <w:rPr>
          <w:rFonts w:asciiTheme="minorHAnsi" w:hAnsiTheme="minorHAnsi"/>
        </w:rPr>
        <w:t>technical guidance in relation to effective programs to reduce human rights-related barriers.</w:t>
      </w:r>
    </w:p>
    <w:p w14:paraId="22DCC6AB" w14:textId="77777777" w:rsidR="00DA6645" w:rsidRPr="007053EB" w:rsidRDefault="00DA6645" w:rsidP="009F66E0">
      <w:pPr>
        <w:pStyle w:val="ListParagraph"/>
        <w:numPr>
          <w:ilvl w:val="0"/>
          <w:numId w:val="33"/>
        </w:numPr>
        <w:spacing w:after="0" w:line="240" w:lineRule="auto"/>
        <w:jc w:val="both"/>
        <w:rPr>
          <w:rFonts w:asciiTheme="minorHAnsi" w:hAnsiTheme="minorHAnsi" w:cstheme="minorHAnsi"/>
          <w:szCs w:val="24"/>
        </w:rPr>
      </w:pPr>
      <w:r w:rsidRPr="007053EB">
        <w:rPr>
          <w:rFonts w:asciiTheme="minorHAnsi" w:hAnsiTheme="minorHAnsi" w:cstheme="minorHAnsi"/>
          <w:szCs w:val="24"/>
        </w:rPr>
        <w:t xml:space="preserve">Desk review of relevant PR/SR grant documents detailing the overall programs to reduce human rights-related barriers. </w:t>
      </w:r>
    </w:p>
    <w:p w14:paraId="0ABE6424" w14:textId="77777777" w:rsidR="00DA6645" w:rsidRDefault="00DA6645" w:rsidP="009F66E0">
      <w:pPr>
        <w:pStyle w:val="ListParagraph"/>
        <w:numPr>
          <w:ilvl w:val="0"/>
          <w:numId w:val="34"/>
        </w:numPr>
        <w:spacing w:after="0" w:line="240" w:lineRule="auto"/>
        <w:jc w:val="both"/>
        <w:rPr>
          <w:rFonts w:asciiTheme="minorHAnsi" w:hAnsiTheme="minorHAnsi" w:cstheme="minorHAnsi"/>
          <w:szCs w:val="24"/>
        </w:rPr>
      </w:pPr>
      <w:r w:rsidRPr="007053EB">
        <w:rPr>
          <w:rFonts w:asciiTheme="minorHAnsi" w:hAnsiTheme="minorHAnsi" w:cstheme="minorHAnsi"/>
          <w:szCs w:val="24"/>
        </w:rPr>
        <w:t xml:space="preserve">Desk review of similar activities undertaken by other entities, funded </w:t>
      </w:r>
      <w:proofErr w:type="gramStart"/>
      <w:r w:rsidRPr="007053EB">
        <w:rPr>
          <w:rFonts w:asciiTheme="minorHAnsi" w:hAnsiTheme="minorHAnsi" w:cstheme="minorHAnsi"/>
          <w:szCs w:val="24"/>
        </w:rPr>
        <w:t>from</w:t>
      </w:r>
      <w:proofErr w:type="gramEnd"/>
      <w:r w:rsidRPr="007053EB">
        <w:rPr>
          <w:rFonts w:asciiTheme="minorHAnsi" w:hAnsiTheme="minorHAnsi" w:cstheme="minorHAnsi"/>
          <w:szCs w:val="24"/>
        </w:rPr>
        <w:t xml:space="preserve"> domestic resources or other donors. </w:t>
      </w:r>
    </w:p>
    <w:p w14:paraId="451480A2" w14:textId="77777777" w:rsidR="00DA6645" w:rsidRPr="007053EB" w:rsidRDefault="00DA6645" w:rsidP="009F66E0">
      <w:pPr>
        <w:pStyle w:val="ListParagraph"/>
        <w:numPr>
          <w:ilvl w:val="0"/>
          <w:numId w:val="35"/>
        </w:numPr>
        <w:spacing w:after="0" w:line="240" w:lineRule="auto"/>
        <w:jc w:val="both"/>
        <w:rPr>
          <w:rFonts w:asciiTheme="minorHAnsi" w:hAnsiTheme="minorHAnsi" w:cstheme="minorHAnsi"/>
          <w:szCs w:val="24"/>
        </w:rPr>
      </w:pPr>
      <w:r w:rsidRPr="007053EB">
        <w:rPr>
          <w:rFonts w:asciiTheme="minorHAnsi" w:hAnsiTheme="minorHAnsi" w:cstheme="minorHAnsi"/>
          <w:szCs w:val="24"/>
        </w:rPr>
        <w:t xml:space="preserve">Desk review of key communication and training materials </w:t>
      </w:r>
      <w:proofErr w:type="spellStart"/>
      <w:r w:rsidRPr="007053EB">
        <w:rPr>
          <w:rFonts w:asciiTheme="minorHAnsi" w:hAnsiTheme="minorHAnsi" w:cstheme="minorHAnsi"/>
          <w:szCs w:val="24"/>
        </w:rPr>
        <w:t>eg.</w:t>
      </w:r>
      <w:proofErr w:type="spellEnd"/>
      <w:r w:rsidRPr="007053EB">
        <w:rPr>
          <w:rFonts w:asciiTheme="minorHAnsi" w:hAnsiTheme="minorHAnsi" w:cstheme="minorHAnsi"/>
          <w:szCs w:val="24"/>
        </w:rPr>
        <w:t xml:space="preserve"> developed as part of legal literacy campaigns, statements, etc.</w:t>
      </w:r>
    </w:p>
    <w:p w14:paraId="5CAB7910" w14:textId="0E48F526" w:rsidR="00DA6645" w:rsidRPr="007053EB" w:rsidRDefault="00DA6645" w:rsidP="009F66E0">
      <w:pPr>
        <w:numPr>
          <w:ilvl w:val="0"/>
          <w:numId w:val="35"/>
        </w:numPr>
        <w:spacing w:after="0" w:line="240" w:lineRule="auto"/>
        <w:jc w:val="both"/>
        <w:rPr>
          <w:rFonts w:asciiTheme="minorHAnsi" w:hAnsiTheme="minorHAnsi"/>
          <w:szCs w:val="24"/>
        </w:rPr>
      </w:pPr>
      <w:r w:rsidRPr="14FFC04A">
        <w:rPr>
          <w:rFonts w:asciiTheme="minorHAnsi" w:hAnsiTheme="minorHAnsi"/>
        </w:rPr>
        <w:t xml:space="preserve">Interview of implementers and clients or recipients, using a variety of methods adapted to the context and sensitivities of the services. </w:t>
      </w:r>
    </w:p>
    <w:p w14:paraId="395040B7" w14:textId="0CF33813" w:rsidR="00DA6645" w:rsidRPr="007053EB" w:rsidRDefault="00DA6645" w:rsidP="009F66E0">
      <w:pPr>
        <w:pStyle w:val="ListParagraph"/>
        <w:numPr>
          <w:ilvl w:val="0"/>
          <w:numId w:val="35"/>
        </w:numPr>
        <w:spacing w:after="0" w:line="240" w:lineRule="auto"/>
        <w:jc w:val="both"/>
        <w:rPr>
          <w:rFonts w:asciiTheme="minorHAnsi" w:hAnsiTheme="minorHAnsi"/>
        </w:rPr>
      </w:pPr>
      <w:r w:rsidRPr="14FFC04A">
        <w:rPr>
          <w:rFonts w:asciiTheme="minorHAnsi" w:hAnsiTheme="minorHAnsi"/>
        </w:rPr>
        <w:t>Interviews with clients/beneficiaries, i.e. people living with and affected by the 3 diseases, key, vulnerable and underserved populations</w:t>
      </w:r>
    </w:p>
    <w:p w14:paraId="56CF8784" w14:textId="77777777" w:rsidR="00DA6645" w:rsidRDefault="00DA6645" w:rsidP="009F66E0">
      <w:pPr>
        <w:pStyle w:val="ListParagraph"/>
        <w:numPr>
          <w:ilvl w:val="0"/>
          <w:numId w:val="35"/>
        </w:numPr>
        <w:spacing w:after="0" w:line="240" w:lineRule="auto"/>
        <w:jc w:val="both"/>
        <w:rPr>
          <w:rFonts w:asciiTheme="minorHAnsi" w:hAnsiTheme="minorHAnsi"/>
        </w:rPr>
      </w:pPr>
      <w:r w:rsidRPr="14FFC04A">
        <w:rPr>
          <w:rFonts w:asciiTheme="minorHAnsi" w:hAnsiTheme="minorHAnsi"/>
        </w:rPr>
        <w:t>Targeted site visits to implementation sites.</w:t>
      </w:r>
    </w:p>
    <w:p w14:paraId="2A49F1BC" w14:textId="77777777" w:rsidR="00733C6F" w:rsidRDefault="00733C6F" w:rsidP="14FFC04A">
      <w:pPr>
        <w:spacing w:after="0" w:line="240" w:lineRule="auto"/>
        <w:jc w:val="both"/>
        <w:rPr>
          <w:rFonts w:cs="Calibri"/>
          <w:b/>
          <w:bCs/>
          <w:lang w:val="en-GB"/>
        </w:rPr>
      </w:pPr>
    </w:p>
    <w:p w14:paraId="48AC1C94" w14:textId="77777777" w:rsidR="00FC76C9" w:rsidRDefault="00FC76C9" w:rsidP="14FFC04A">
      <w:pPr>
        <w:spacing w:after="0" w:line="240" w:lineRule="auto"/>
        <w:jc w:val="both"/>
        <w:rPr>
          <w:rFonts w:cs="Calibri"/>
          <w:b/>
          <w:bCs/>
          <w:lang w:val="en-GB"/>
        </w:rPr>
      </w:pPr>
    </w:p>
    <w:p w14:paraId="61737011" w14:textId="139B522C" w:rsidR="009F4827" w:rsidRPr="00E015B2" w:rsidRDefault="009F4827" w:rsidP="00FC76C9">
      <w:pPr>
        <w:spacing w:line="240" w:lineRule="auto"/>
        <w:jc w:val="both"/>
        <w:rPr>
          <w:rFonts w:cs="Calibri"/>
          <w:b/>
          <w:bCs/>
          <w:lang w:val="en-GB"/>
        </w:rPr>
      </w:pPr>
      <w:r w:rsidRPr="14FFC04A">
        <w:rPr>
          <w:rFonts w:cs="Calibri"/>
          <w:b/>
          <w:bCs/>
          <w:lang w:val="en-GB"/>
        </w:rPr>
        <w:t>Output/Deliverables and timing of deliverables:</w:t>
      </w:r>
    </w:p>
    <w:p w14:paraId="249F1438" w14:textId="227E5BA2" w:rsidR="009F4827" w:rsidRPr="00E015B2" w:rsidRDefault="009F4827" w:rsidP="00FC76C9">
      <w:pPr>
        <w:spacing w:line="240" w:lineRule="auto"/>
        <w:jc w:val="both"/>
        <w:rPr>
          <w:rFonts w:cs="Arial"/>
          <w:lang w:val="en-GB"/>
        </w:rPr>
      </w:pPr>
      <w:r w:rsidRPr="14FFC04A">
        <w:rPr>
          <w:rFonts w:cs="Arial"/>
          <w:lang w:val="en-GB"/>
        </w:rPr>
        <w:t>The report should address each of the points listed under the scope of review, as per the Global Fund request, and supplemented with other relevant information. It should include without limitation:</w:t>
      </w:r>
    </w:p>
    <w:p w14:paraId="05D76C3C" w14:textId="13F19059" w:rsidR="009F4827" w:rsidRPr="00E015B2" w:rsidRDefault="009F4827" w:rsidP="009F4827">
      <w:pPr>
        <w:numPr>
          <w:ilvl w:val="0"/>
          <w:numId w:val="37"/>
        </w:numPr>
        <w:spacing w:after="0" w:line="240" w:lineRule="auto"/>
        <w:contextualSpacing/>
        <w:jc w:val="both"/>
        <w:rPr>
          <w:rFonts w:cs="Arial"/>
          <w:lang w:val="en-GB"/>
        </w:rPr>
      </w:pPr>
      <w:r w:rsidRPr="14FFC04A">
        <w:rPr>
          <w:rFonts w:cs="Arial"/>
          <w:lang w:val="en-GB"/>
        </w:rPr>
        <w:t xml:space="preserve">A detailed description and analysis of issues/risks identified.  The LFA should comment on the context and possible root causes of the issues identified, providing background information as necessary and prioritise the list of issues in an executive summary according to their significance.  </w:t>
      </w:r>
    </w:p>
    <w:p w14:paraId="345FDCA4" w14:textId="77777777" w:rsidR="009F4827" w:rsidRPr="00E015B2" w:rsidRDefault="009F4827" w:rsidP="009F4827">
      <w:pPr>
        <w:numPr>
          <w:ilvl w:val="0"/>
          <w:numId w:val="37"/>
        </w:numPr>
        <w:spacing w:after="0" w:line="240" w:lineRule="auto"/>
        <w:contextualSpacing/>
        <w:jc w:val="both"/>
        <w:rPr>
          <w:rFonts w:cs="Arial"/>
          <w:lang w:val="en-GB"/>
        </w:rPr>
      </w:pPr>
      <w:r w:rsidRPr="14FFC04A">
        <w:rPr>
          <w:rFonts w:cs="Arial"/>
          <w:lang w:val="en-GB"/>
        </w:rPr>
        <w:t>Recommendations for addressing issues identified.  Recommendations should be:</w:t>
      </w:r>
    </w:p>
    <w:p w14:paraId="5CA044CF" w14:textId="77777777" w:rsidR="009F4827" w:rsidRPr="00E015B2" w:rsidRDefault="009F4827" w:rsidP="009F4827">
      <w:pPr>
        <w:numPr>
          <w:ilvl w:val="0"/>
          <w:numId w:val="36"/>
        </w:numPr>
        <w:spacing w:after="0" w:line="240" w:lineRule="auto"/>
        <w:contextualSpacing/>
        <w:jc w:val="both"/>
        <w:rPr>
          <w:rFonts w:cs="Arial"/>
          <w:lang w:val="en-GB"/>
        </w:rPr>
      </w:pPr>
      <w:r w:rsidRPr="14FFC04A">
        <w:rPr>
          <w:rFonts w:cs="Arial"/>
          <w:lang w:val="en-GB"/>
        </w:rPr>
        <w:t>Detailed – with all the relevant information included</w:t>
      </w:r>
    </w:p>
    <w:p w14:paraId="0B7CB31C" w14:textId="77777777" w:rsidR="009F4827" w:rsidRPr="00E015B2" w:rsidRDefault="009F4827" w:rsidP="009F4827">
      <w:pPr>
        <w:numPr>
          <w:ilvl w:val="0"/>
          <w:numId w:val="36"/>
        </w:numPr>
        <w:spacing w:after="0" w:line="240" w:lineRule="auto"/>
        <w:contextualSpacing/>
        <w:jc w:val="both"/>
        <w:rPr>
          <w:rFonts w:cs="Arial"/>
          <w:lang w:val="en-GB"/>
        </w:rPr>
      </w:pPr>
      <w:r w:rsidRPr="14FFC04A">
        <w:rPr>
          <w:rFonts w:cs="Arial"/>
          <w:lang w:val="en-GB"/>
        </w:rPr>
        <w:t>Specific and contextualised</w:t>
      </w:r>
    </w:p>
    <w:p w14:paraId="49F000F4" w14:textId="77777777" w:rsidR="009F4827" w:rsidRPr="00E015B2" w:rsidRDefault="009F4827" w:rsidP="009F4827">
      <w:pPr>
        <w:numPr>
          <w:ilvl w:val="0"/>
          <w:numId w:val="36"/>
        </w:numPr>
        <w:spacing w:after="0" w:line="240" w:lineRule="auto"/>
        <w:contextualSpacing/>
        <w:jc w:val="both"/>
        <w:rPr>
          <w:rFonts w:cs="Arial"/>
          <w:lang w:val="en-GB"/>
        </w:rPr>
      </w:pPr>
      <w:r w:rsidRPr="14FFC04A">
        <w:rPr>
          <w:rFonts w:cs="Arial"/>
          <w:lang w:val="en-GB"/>
        </w:rPr>
        <w:t>Time-bound</w:t>
      </w:r>
    </w:p>
    <w:p w14:paraId="17616AEF" w14:textId="77777777" w:rsidR="009F4827" w:rsidRPr="00E015B2" w:rsidRDefault="009F4827" w:rsidP="009F4827">
      <w:pPr>
        <w:numPr>
          <w:ilvl w:val="0"/>
          <w:numId w:val="36"/>
        </w:numPr>
        <w:spacing w:after="0" w:line="240" w:lineRule="auto"/>
        <w:contextualSpacing/>
        <w:jc w:val="both"/>
        <w:rPr>
          <w:rFonts w:cs="Arial"/>
          <w:lang w:val="en-GB"/>
        </w:rPr>
      </w:pPr>
      <w:r w:rsidRPr="14FFC04A">
        <w:rPr>
          <w:rFonts w:cs="Arial"/>
          <w:lang w:val="en-GB"/>
        </w:rPr>
        <w:lastRenderedPageBreak/>
        <w:t>Prioritized based on the level of risk</w:t>
      </w:r>
    </w:p>
    <w:p w14:paraId="0F500195" w14:textId="77777777" w:rsidR="009F4827" w:rsidRPr="00E015B2" w:rsidRDefault="009F4827" w:rsidP="009F4827">
      <w:pPr>
        <w:numPr>
          <w:ilvl w:val="0"/>
          <w:numId w:val="36"/>
        </w:numPr>
        <w:spacing w:after="0" w:line="240" w:lineRule="auto"/>
        <w:contextualSpacing/>
        <w:jc w:val="both"/>
        <w:rPr>
          <w:rFonts w:cs="Arial"/>
          <w:lang w:val="en-GB"/>
        </w:rPr>
      </w:pPr>
      <w:r w:rsidRPr="14FFC04A">
        <w:rPr>
          <w:rFonts w:cs="Arial"/>
          <w:lang w:val="en-GB"/>
        </w:rPr>
        <w:t>Identifying the main entity responsible for implementation</w:t>
      </w:r>
    </w:p>
    <w:p w14:paraId="71EB7384" w14:textId="77777777" w:rsidR="00FC76C9" w:rsidRDefault="00FC76C9" w:rsidP="009F4827">
      <w:pPr>
        <w:spacing w:after="0" w:line="240" w:lineRule="auto"/>
        <w:jc w:val="both"/>
        <w:rPr>
          <w:b/>
          <w:bCs/>
          <w:lang w:val="en-GB"/>
        </w:rPr>
      </w:pPr>
    </w:p>
    <w:p w14:paraId="59BD6E50" w14:textId="45914AB2" w:rsidR="009F4827" w:rsidRPr="00E015B2" w:rsidRDefault="009F4827" w:rsidP="00FC76C9">
      <w:pPr>
        <w:spacing w:line="240" w:lineRule="auto"/>
        <w:jc w:val="both"/>
        <w:rPr>
          <w:u w:val="single"/>
          <w:lang w:val="en-GB"/>
        </w:rPr>
      </w:pPr>
      <w:r w:rsidRPr="14FFC04A">
        <w:rPr>
          <w:b/>
          <w:bCs/>
          <w:lang w:val="en-GB"/>
        </w:rPr>
        <w:t>Service Delivery</w:t>
      </w:r>
      <w:r w:rsidRPr="14FFC04A">
        <w:rPr>
          <w:u w:val="single"/>
          <w:lang w:val="en-GB"/>
        </w:rPr>
        <w:t>:</w:t>
      </w:r>
    </w:p>
    <w:p w14:paraId="658EB524" w14:textId="58C3D903" w:rsidR="009F4827" w:rsidRPr="001E72D4" w:rsidRDefault="009F4827" w:rsidP="00FC76C9">
      <w:pPr>
        <w:spacing w:line="240" w:lineRule="auto"/>
        <w:jc w:val="both"/>
        <w:rPr>
          <w:rFonts w:asciiTheme="minorHAnsi" w:hAnsiTheme="minorHAnsi"/>
        </w:rPr>
      </w:pPr>
      <w:r w:rsidRPr="14FFC04A">
        <w:rPr>
          <w:lang w:val="en-GB"/>
        </w:rPr>
        <w:t xml:space="preserve">This task should be undertaken by the LFA </w:t>
      </w:r>
      <w:r w:rsidR="00733C6F" w:rsidRPr="14FFC04A">
        <w:rPr>
          <w:lang w:val="en-GB"/>
        </w:rPr>
        <w:t>Programmatic/M&amp;E</w:t>
      </w:r>
      <w:r w:rsidRPr="14FFC04A">
        <w:rPr>
          <w:lang w:val="en-GB"/>
        </w:rPr>
        <w:t xml:space="preserve"> Expert who is accountable for the technical content of this report. S/he can be supported, as needed, by other LFA team members in the planning and during the verification.  The </w:t>
      </w:r>
      <w:proofErr w:type="spellStart"/>
      <w:r w:rsidRPr="14FFC04A">
        <w:rPr>
          <w:lang w:val="en-GB"/>
        </w:rPr>
        <w:t>LoE</w:t>
      </w:r>
      <w:proofErr w:type="spellEnd"/>
      <w:r w:rsidRPr="14FFC04A">
        <w:rPr>
          <w:lang w:val="en-GB"/>
        </w:rPr>
        <w:t xml:space="preserve"> for this task, including report writing, depends on which elements of the </w:t>
      </w:r>
      <w:proofErr w:type="spellStart"/>
      <w:r w:rsidRPr="14FFC04A">
        <w:rPr>
          <w:lang w:val="en-GB"/>
        </w:rPr>
        <w:t>ToR</w:t>
      </w:r>
      <w:proofErr w:type="spellEnd"/>
      <w:r w:rsidRPr="14FFC04A">
        <w:rPr>
          <w:lang w:val="en-GB"/>
        </w:rPr>
        <w:t xml:space="preserve"> and the number and location of service delivery sites </w:t>
      </w:r>
      <w:r w:rsidRPr="14FFC04A">
        <w:rPr>
          <w:rFonts w:cs="Arial"/>
        </w:rPr>
        <w:t>included in the review</w:t>
      </w:r>
      <w:r w:rsidRPr="14FFC04A">
        <w:rPr>
          <w:lang w:val="en-GB"/>
        </w:rPr>
        <w:t xml:space="preserve">, as agreed between the Country Team </w:t>
      </w:r>
      <w:r w:rsidRPr="14FFC04A">
        <w:rPr>
          <w:rFonts w:cs="Arial"/>
        </w:rPr>
        <w:t>and the LFA</w:t>
      </w:r>
      <w:r w:rsidRPr="14FFC04A">
        <w:rPr>
          <w:lang w:val="en-GB"/>
        </w:rPr>
        <w:t>.</w:t>
      </w:r>
    </w:p>
    <w:p w14:paraId="5CA5A316" w14:textId="77777777" w:rsidR="00FE2595" w:rsidRPr="00280925" w:rsidRDefault="00FE2595" w:rsidP="00FE2595">
      <w:pPr>
        <w:spacing w:after="0" w:line="240" w:lineRule="auto"/>
        <w:jc w:val="both"/>
        <w:rPr>
          <w:rFonts w:asciiTheme="minorHAnsi" w:hAnsiTheme="minorHAnsi" w:cstheme="minorHAnsi"/>
          <w:bCs/>
          <w:i/>
          <w:iCs/>
          <w:szCs w:val="24"/>
          <w:lang w:val="en-GB"/>
        </w:rPr>
      </w:pPr>
      <w:r w:rsidRPr="00280925">
        <w:rPr>
          <w:rFonts w:asciiTheme="minorHAnsi" w:hAnsiTheme="minorHAnsi" w:cstheme="minorHAnsi"/>
          <w:bCs/>
          <w:i/>
          <w:iCs/>
          <w:szCs w:val="24"/>
          <w:lang w:val="en-GB"/>
        </w:rPr>
        <w:t>Should the review identify clear evidence of fraud, the LFA should ensure it uses the GF communication protocol to inform the GF Secretariat and the OIG to allow consideration of evidence collection and other issues relevant to a possible criminal investigation.</w:t>
      </w:r>
    </w:p>
    <w:p w14:paraId="703281AC" w14:textId="77777777" w:rsidR="00FE2595" w:rsidRPr="00FE2595" w:rsidRDefault="00FE2595" w:rsidP="00DA6645">
      <w:pPr>
        <w:jc w:val="both"/>
        <w:rPr>
          <w:rFonts w:asciiTheme="minorHAnsi" w:hAnsiTheme="minorHAnsi" w:cstheme="minorHAnsi"/>
          <w:szCs w:val="24"/>
          <w:lang w:val="en-GB"/>
        </w:rPr>
      </w:pPr>
    </w:p>
    <w:sectPr w:rsidR="00FE2595" w:rsidRPr="00FE2595" w:rsidSect="00F6756A">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E1A9" w14:textId="77777777" w:rsidR="00DA6645" w:rsidRDefault="00DA6645" w:rsidP="0013691B">
      <w:pPr>
        <w:spacing w:after="0" w:line="240" w:lineRule="auto"/>
      </w:pPr>
      <w:r>
        <w:separator/>
      </w:r>
    </w:p>
  </w:endnote>
  <w:endnote w:type="continuationSeparator" w:id="0">
    <w:p w14:paraId="0B75D9C0" w14:textId="77777777" w:rsidR="00DA6645" w:rsidRDefault="00DA6645"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F727"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4DA5D551" w14:textId="77777777" w:rsidTr="00F602C6">
      <w:trPr>
        <w:trHeight w:val="283"/>
      </w:trPr>
      <w:tc>
        <w:tcPr>
          <w:tcW w:w="10204" w:type="dxa"/>
          <w:gridSpan w:val="2"/>
          <w:tcBorders>
            <w:top w:val="single" w:sz="4" w:space="0" w:color="auto"/>
          </w:tcBorders>
          <w:vAlign w:val="bottom"/>
        </w:tcPr>
        <w:p w14:paraId="2118C0B6" w14:textId="77777777" w:rsidR="004C6793" w:rsidRPr="008F46F0" w:rsidRDefault="004C6793" w:rsidP="00F602C6">
          <w:pPr>
            <w:pStyle w:val="PageNo"/>
          </w:pPr>
          <w:bookmarkStart w:id="0" w:name="_Hlk73008952"/>
        </w:p>
      </w:tc>
    </w:tr>
    <w:tr w:rsidR="004C6793" w14:paraId="2FFC86AB" w14:textId="77777777" w:rsidTr="00F602C6">
      <w:sdt>
        <w:sdtPr>
          <w:alias w:val="Form.DocLang.Logo_horizontal"/>
          <w:tag w:val="{&quot;templafy&quot;:{&quot;id&quot;:&quot;cd9dfd85-256a-4258-9291-92ffa96573ba&quot;}}"/>
          <w:id w:val="1796407923"/>
          <w:picture/>
        </w:sdtPr>
        <w:sdtEndPr/>
        <w:sdtContent>
          <w:tc>
            <w:tcPr>
              <w:tcW w:w="5102" w:type="dxa"/>
              <w:vAlign w:val="bottom"/>
            </w:tcPr>
            <w:p w14:paraId="6DF55E0A" w14:textId="77777777" w:rsidR="004C6793" w:rsidRDefault="0028306D" w:rsidP="00F602C6">
              <w:pPr>
                <w:pStyle w:val="Footer"/>
              </w:pPr>
              <w:r>
                <w:rPr>
                  <w:noProof/>
                </w:rPr>
                <w:drawing>
                  <wp:inline distT="0" distB="0" distL="0" distR="0" wp14:anchorId="60F092C2" wp14:editId="083B0DFF">
                    <wp:extent cx="1643532" cy="152280"/>
                    <wp:effectExtent l="0" t="0" r="0" b="635"/>
                    <wp:docPr id="3021828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18282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792588C3"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437A63DE" w14:textId="77777777" w:rsidTr="00F602C6">
      <w:trPr>
        <w:trHeight w:val="454"/>
      </w:trPr>
      <w:tc>
        <w:tcPr>
          <w:tcW w:w="10204" w:type="dxa"/>
          <w:gridSpan w:val="2"/>
          <w:vAlign w:val="bottom"/>
        </w:tcPr>
        <w:p w14:paraId="05C72245" w14:textId="77777777" w:rsidR="00F602C6" w:rsidRPr="00955A75" w:rsidRDefault="00F602C6" w:rsidP="00F602C6">
          <w:pPr>
            <w:pStyle w:val="Footer"/>
            <w:rPr>
              <w:sz w:val="14"/>
              <w:szCs w:val="14"/>
            </w:rPr>
          </w:pPr>
        </w:p>
      </w:tc>
    </w:tr>
    <w:bookmarkEnd w:id="0"/>
  </w:tbl>
  <w:p w14:paraId="49561B55"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660057CA" w14:textId="77777777" w:rsidTr="000E3465">
      <w:trPr>
        <w:trHeight w:val="283"/>
      </w:trPr>
      <w:tc>
        <w:tcPr>
          <w:tcW w:w="10204" w:type="dxa"/>
          <w:gridSpan w:val="2"/>
          <w:tcBorders>
            <w:top w:val="single" w:sz="4" w:space="0" w:color="auto"/>
          </w:tcBorders>
          <w:vAlign w:val="bottom"/>
        </w:tcPr>
        <w:p w14:paraId="3712C445" w14:textId="77777777" w:rsidR="00026D48" w:rsidRPr="008F46F0" w:rsidRDefault="00026D48" w:rsidP="00026D48">
          <w:pPr>
            <w:pStyle w:val="PageNo"/>
          </w:pPr>
        </w:p>
      </w:tc>
    </w:tr>
    <w:tr w:rsidR="00026D48" w14:paraId="6D11A0A5" w14:textId="77777777" w:rsidTr="000E3465">
      <w:sdt>
        <w:sdtPr>
          <w:alias w:val="Form.DocLang.Logo_horizontal"/>
          <w:tag w:val="{&quot;templafy&quot;:{&quot;id&quot;:&quot;e25da11a-b2b1-433a-af83-7b03500f3f87&quot;}}"/>
          <w:id w:val="-739715887"/>
          <w:picture/>
        </w:sdtPr>
        <w:sdtEndPr/>
        <w:sdtContent>
          <w:tc>
            <w:tcPr>
              <w:tcW w:w="5102" w:type="dxa"/>
              <w:vAlign w:val="bottom"/>
            </w:tcPr>
            <w:p w14:paraId="3634E096" w14:textId="77777777" w:rsidR="00026D48" w:rsidRDefault="0028306D" w:rsidP="00026D48">
              <w:pPr>
                <w:pStyle w:val="Footer"/>
              </w:pPr>
              <w:r>
                <w:rPr>
                  <w:noProof/>
                </w:rPr>
                <w:drawing>
                  <wp:inline distT="0" distB="0" distL="0" distR="0" wp14:anchorId="72B95341" wp14:editId="4ABBD66E">
                    <wp:extent cx="1643532" cy="152280"/>
                    <wp:effectExtent l="0" t="0" r="0" b="635"/>
                    <wp:docPr id="775876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587604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2598AC2A"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59C0329" w14:textId="77777777" w:rsidTr="000E3465">
      <w:trPr>
        <w:trHeight w:val="454"/>
      </w:trPr>
      <w:tc>
        <w:tcPr>
          <w:tcW w:w="10204" w:type="dxa"/>
          <w:gridSpan w:val="2"/>
          <w:vAlign w:val="bottom"/>
        </w:tcPr>
        <w:p w14:paraId="584CCE87" w14:textId="77777777" w:rsidR="00026D48" w:rsidRPr="00955A75" w:rsidRDefault="00026D48" w:rsidP="00026D48">
          <w:pPr>
            <w:pStyle w:val="Footer"/>
            <w:rPr>
              <w:sz w:val="14"/>
              <w:szCs w:val="14"/>
            </w:rPr>
          </w:pPr>
        </w:p>
      </w:tc>
    </w:tr>
  </w:tbl>
  <w:p w14:paraId="1D3207E0"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3FC6" w14:textId="77777777" w:rsidR="00DA6645" w:rsidRDefault="00DA6645" w:rsidP="0013691B">
      <w:pPr>
        <w:spacing w:after="0" w:line="240" w:lineRule="auto"/>
      </w:pPr>
      <w:r>
        <w:separator/>
      </w:r>
    </w:p>
  </w:footnote>
  <w:footnote w:type="continuationSeparator" w:id="0">
    <w:p w14:paraId="0948A809" w14:textId="77777777" w:rsidR="00DA6645" w:rsidRDefault="00DA6645" w:rsidP="0013691B">
      <w:pPr>
        <w:spacing w:after="0" w:line="240" w:lineRule="auto"/>
      </w:pPr>
      <w:r>
        <w:continuationSeparator/>
      </w:r>
    </w:p>
  </w:footnote>
  <w:footnote w:id="1">
    <w:p w14:paraId="021CAA82" w14:textId="77777777" w:rsidR="00DA6645" w:rsidRDefault="00DA6645" w:rsidP="00DA6645">
      <w:pPr>
        <w:pStyle w:val="FootnoteText"/>
      </w:pPr>
      <w:r>
        <w:rPr>
          <w:rStyle w:val="FootnoteReference"/>
        </w:rPr>
        <w:footnoteRef/>
      </w:r>
      <w:r>
        <w:t xml:space="preserve"> Annex 2: Guide to Engaging Community-based and Community-led Organizations in Grant Implementation. Principal Recipient Handbook for Grant-Making: 2023 – 2025 Allocation Period (GC7), August 2023</w:t>
      </w:r>
    </w:p>
  </w:footnote>
  <w:footnote w:id="2">
    <w:p w14:paraId="20C5E59D" w14:textId="77777777" w:rsidR="00DA6645" w:rsidRDefault="00DA6645" w:rsidP="00DA6645">
      <w:pPr>
        <w:pStyle w:val="FootnoteText"/>
      </w:pPr>
      <w:r>
        <w:rPr>
          <w:rStyle w:val="FootnoteReference"/>
        </w:rPr>
        <w:footnoteRef/>
      </w:r>
      <w:r>
        <w:t xml:space="preserve"> </w:t>
      </w:r>
      <w:hyperlink r:id="rId1" w:history="1">
        <w:hyperlink r:id="rId2" w:history="1">
          <w:r w:rsidRPr="00B71293">
            <w:rPr>
              <w:rStyle w:val="Hyperlink"/>
            </w:rPr>
            <w:t>https://www.theglobalfund.org/media/13745/lfa_review-implementation-community-led-monitoring_tor_en.docx</w:t>
          </w:r>
        </w:hyperlink>
      </w:hyperlink>
    </w:p>
  </w:footnote>
  <w:footnote w:id="3">
    <w:p w14:paraId="63068E34" w14:textId="77777777" w:rsidR="00DA6645" w:rsidRDefault="00DA6645" w:rsidP="00DA6645">
      <w:pPr>
        <w:pStyle w:val="FootnoteText"/>
      </w:pPr>
      <w:r>
        <w:rPr>
          <w:rStyle w:val="FootnoteReference"/>
        </w:rPr>
        <w:footnoteRef/>
      </w:r>
      <w:r>
        <w:t xml:space="preserve"> Security toolkit: Protecting implementers and improving program outcomes. Guidance and tools to strengthen security in Global Fund supported key population programs (</w:t>
      </w:r>
      <w:hyperlink r:id="rId3" w:history="1">
        <w:r w:rsidRPr="00131FAB">
          <w:rPr>
            <w:rStyle w:val="Hyperlink"/>
          </w:rPr>
          <w:t>https://www.civilsocietyhealth.org/website/wp-content/uploads/2022/12/2022_Security-Toolkit-EN_v04-1.pdf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2DA0"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8CE4"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18ECBEDC" w14:textId="77777777" w:rsidTr="007E5B22">
      <w:trPr>
        <w:trHeight w:val="454"/>
      </w:trPr>
      <w:sdt>
        <w:sdtPr>
          <w:alias w:val="Form.DocLang.Logo_stacked_colour"/>
          <w:tag w:val="{&quot;templafy&quot;:{&quot;id&quot;:&quot;bb1f845b-3ed3-42af-93aa-6d20a8735fd1&quot;}}"/>
          <w:id w:val="471336006"/>
          <w:lock w:val="contentLocked"/>
          <w:picture/>
        </w:sdtPr>
        <w:sdtEndPr/>
        <w:sdtContent>
          <w:tc>
            <w:tcPr>
              <w:tcW w:w="2268" w:type="dxa"/>
              <w:tcBorders>
                <w:top w:val="nil"/>
                <w:left w:val="nil"/>
                <w:bottom w:val="nil"/>
                <w:right w:val="nil"/>
              </w:tcBorders>
            </w:tcPr>
            <w:p w14:paraId="0AFFF87E" w14:textId="77777777" w:rsidR="00885674" w:rsidRDefault="00885674" w:rsidP="00885674">
              <w:pPr>
                <w:pStyle w:val="Header"/>
              </w:pPr>
              <w:r>
                <w:rPr>
                  <w:noProof/>
                </w:rPr>
                <w:drawing>
                  <wp:inline distT="0" distB="0" distL="0" distR="0" wp14:anchorId="5C94AA3B" wp14:editId="4E5374EC">
                    <wp:extent cx="1437770" cy="493200"/>
                    <wp:effectExtent l="0" t="0" r="8255" b="2540"/>
                    <wp:docPr id="30142657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2657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D62C388" w14:textId="77777777" w:rsidR="00026D48" w:rsidRDefault="00026D48">
    <w:pPr>
      <w:pStyle w:val="Header"/>
    </w:pPr>
  </w:p>
  <w:p w14:paraId="60F4086E" w14:textId="77777777" w:rsidR="00885674" w:rsidRDefault="00885674">
    <w:pPr>
      <w:pStyle w:val="Header"/>
    </w:pPr>
  </w:p>
  <w:p w14:paraId="0CF43D81"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3F161B6"/>
    <w:multiLevelType w:val="hybridMultilevel"/>
    <w:tmpl w:val="DE981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7A6D4E"/>
    <w:multiLevelType w:val="multilevel"/>
    <w:tmpl w:val="17A0D06E"/>
    <w:numStyleLink w:val="NumbListAlpha"/>
  </w:abstractNum>
  <w:abstractNum w:abstractNumId="13" w15:restartNumberingAfterBreak="0">
    <w:nsid w:val="12FA3500"/>
    <w:multiLevelType w:val="hybridMultilevel"/>
    <w:tmpl w:val="1B0E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318F2"/>
    <w:multiLevelType w:val="hybridMultilevel"/>
    <w:tmpl w:val="3F2E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670D91"/>
    <w:multiLevelType w:val="hybridMultilevel"/>
    <w:tmpl w:val="34CE1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152390"/>
    <w:multiLevelType w:val="hybridMultilevel"/>
    <w:tmpl w:val="E2CE8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055E0"/>
    <w:multiLevelType w:val="hybridMultilevel"/>
    <w:tmpl w:val="98849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17036F"/>
    <w:multiLevelType w:val="hybridMultilevel"/>
    <w:tmpl w:val="5AAE4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A5C"/>
    <w:multiLevelType w:val="hybridMultilevel"/>
    <w:tmpl w:val="7472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AD6780"/>
    <w:multiLevelType w:val="hybridMultilevel"/>
    <w:tmpl w:val="12AA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0005D"/>
    <w:multiLevelType w:val="hybridMultilevel"/>
    <w:tmpl w:val="32069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F560C8"/>
    <w:multiLevelType w:val="hybridMultilevel"/>
    <w:tmpl w:val="B0229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526742"/>
    <w:multiLevelType w:val="hybridMultilevel"/>
    <w:tmpl w:val="123A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9" w15:restartNumberingAfterBreak="0">
    <w:nsid w:val="4EAC7247"/>
    <w:multiLevelType w:val="multilevel"/>
    <w:tmpl w:val="6926581A"/>
    <w:numStyleLink w:val="ArticleSection"/>
  </w:abstractNum>
  <w:abstractNum w:abstractNumId="30" w15:restartNumberingAfterBreak="0">
    <w:nsid w:val="56461548"/>
    <w:multiLevelType w:val="hybridMultilevel"/>
    <w:tmpl w:val="2B7C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964600"/>
    <w:multiLevelType w:val="hybridMultilevel"/>
    <w:tmpl w:val="43FC7E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247412">
    <w:abstractNumId w:val="12"/>
  </w:num>
  <w:num w:numId="2" w16cid:durableId="1647079291">
    <w:abstractNumId w:val="18"/>
  </w:num>
  <w:num w:numId="3" w16cid:durableId="754279829">
    <w:abstractNumId w:val="19"/>
  </w:num>
  <w:num w:numId="4" w16cid:durableId="1974361704">
    <w:abstractNumId w:val="33"/>
  </w:num>
  <w:num w:numId="5" w16cid:durableId="54664950">
    <w:abstractNumId w:val="15"/>
  </w:num>
  <w:num w:numId="6" w16cid:durableId="533005447">
    <w:abstractNumId w:val="31"/>
  </w:num>
  <w:num w:numId="7" w16cid:durableId="999499182">
    <w:abstractNumId w:val="34"/>
  </w:num>
  <w:num w:numId="8" w16cid:durableId="2037581708">
    <w:abstractNumId w:val="36"/>
  </w:num>
  <w:num w:numId="9" w16cid:durableId="1384252988">
    <w:abstractNumId w:val="32"/>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8"/>
  </w:num>
  <w:num w:numId="21" w16cid:durableId="1964460344">
    <w:abstractNumId w:val="10"/>
  </w:num>
  <w:num w:numId="22" w16cid:durableId="1989704918">
    <w:abstractNumId w:val="16"/>
  </w:num>
  <w:num w:numId="23" w16cid:durableId="2121876648">
    <w:abstractNumId w:val="29"/>
  </w:num>
  <w:num w:numId="24" w16cid:durableId="1135832848">
    <w:abstractNumId w:val="14"/>
  </w:num>
  <w:num w:numId="25" w16cid:durableId="605160538">
    <w:abstractNumId w:val="13"/>
  </w:num>
  <w:num w:numId="26" w16cid:durableId="1513177553">
    <w:abstractNumId w:val="22"/>
  </w:num>
  <w:num w:numId="27" w16cid:durableId="1027752878">
    <w:abstractNumId w:val="20"/>
  </w:num>
  <w:num w:numId="28" w16cid:durableId="220214136">
    <w:abstractNumId w:val="25"/>
  </w:num>
  <w:num w:numId="29" w16cid:durableId="843322447">
    <w:abstractNumId w:val="26"/>
  </w:num>
  <w:num w:numId="30" w16cid:durableId="2045709766">
    <w:abstractNumId w:val="17"/>
  </w:num>
  <w:num w:numId="31" w16cid:durableId="598834600">
    <w:abstractNumId w:val="11"/>
  </w:num>
  <w:num w:numId="32" w16cid:durableId="1704599447">
    <w:abstractNumId w:val="30"/>
  </w:num>
  <w:num w:numId="33" w16cid:durableId="946543033">
    <w:abstractNumId w:val="21"/>
  </w:num>
  <w:num w:numId="34" w16cid:durableId="1391420518">
    <w:abstractNumId w:val="23"/>
  </w:num>
  <w:num w:numId="35" w16cid:durableId="653991828">
    <w:abstractNumId w:val="27"/>
  </w:num>
  <w:num w:numId="36" w16cid:durableId="1936161126">
    <w:abstractNumId w:val="35"/>
  </w:num>
  <w:num w:numId="37" w16cid:durableId="203117421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A6645"/>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A0B27"/>
    <w:rsid w:val="000A0ECA"/>
    <w:rsid w:val="000C377B"/>
    <w:rsid w:val="000C647F"/>
    <w:rsid w:val="000C75B9"/>
    <w:rsid w:val="000F5BD5"/>
    <w:rsid w:val="001100A4"/>
    <w:rsid w:val="00110820"/>
    <w:rsid w:val="00122DF8"/>
    <w:rsid w:val="00133325"/>
    <w:rsid w:val="0013691B"/>
    <w:rsid w:val="00151409"/>
    <w:rsid w:val="001540E2"/>
    <w:rsid w:val="00171C99"/>
    <w:rsid w:val="00197AE7"/>
    <w:rsid w:val="001C3DD1"/>
    <w:rsid w:val="001E72D4"/>
    <w:rsid w:val="00234462"/>
    <w:rsid w:val="002353CE"/>
    <w:rsid w:val="00235CA2"/>
    <w:rsid w:val="00236822"/>
    <w:rsid w:val="0024020E"/>
    <w:rsid w:val="0025351E"/>
    <w:rsid w:val="00254D2F"/>
    <w:rsid w:val="00266AEC"/>
    <w:rsid w:val="0027163F"/>
    <w:rsid w:val="0027457F"/>
    <w:rsid w:val="00276608"/>
    <w:rsid w:val="00280925"/>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F2F7C"/>
    <w:rsid w:val="0030477E"/>
    <w:rsid w:val="0031404E"/>
    <w:rsid w:val="00314800"/>
    <w:rsid w:val="00331B24"/>
    <w:rsid w:val="00335220"/>
    <w:rsid w:val="00337AD3"/>
    <w:rsid w:val="00362590"/>
    <w:rsid w:val="00364326"/>
    <w:rsid w:val="0038486D"/>
    <w:rsid w:val="003A0F8A"/>
    <w:rsid w:val="003A5EB1"/>
    <w:rsid w:val="003A6392"/>
    <w:rsid w:val="003B09C8"/>
    <w:rsid w:val="003B77D4"/>
    <w:rsid w:val="003C7C54"/>
    <w:rsid w:val="003D70F4"/>
    <w:rsid w:val="003F11D5"/>
    <w:rsid w:val="003F167F"/>
    <w:rsid w:val="00401CED"/>
    <w:rsid w:val="00401ED6"/>
    <w:rsid w:val="00421004"/>
    <w:rsid w:val="00426FC0"/>
    <w:rsid w:val="004345DC"/>
    <w:rsid w:val="0043550B"/>
    <w:rsid w:val="00437DC3"/>
    <w:rsid w:val="00441334"/>
    <w:rsid w:val="004431F4"/>
    <w:rsid w:val="004456B9"/>
    <w:rsid w:val="0044609B"/>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4301"/>
    <w:rsid w:val="005659E0"/>
    <w:rsid w:val="00576254"/>
    <w:rsid w:val="0058415B"/>
    <w:rsid w:val="005945F4"/>
    <w:rsid w:val="005A088F"/>
    <w:rsid w:val="005A6EC5"/>
    <w:rsid w:val="005A7DE2"/>
    <w:rsid w:val="005B03D1"/>
    <w:rsid w:val="005B07E8"/>
    <w:rsid w:val="005D02D2"/>
    <w:rsid w:val="005E0753"/>
    <w:rsid w:val="005E0AB3"/>
    <w:rsid w:val="005E6AC7"/>
    <w:rsid w:val="005F1396"/>
    <w:rsid w:val="005F6D34"/>
    <w:rsid w:val="00603F95"/>
    <w:rsid w:val="00607164"/>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6E71C6"/>
    <w:rsid w:val="007043C7"/>
    <w:rsid w:val="00710A12"/>
    <w:rsid w:val="00711BFA"/>
    <w:rsid w:val="00723FD2"/>
    <w:rsid w:val="00733C6F"/>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40F6"/>
    <w:rsid w:val="008270AE"/>
    <w:rsid w:val="00835497"/>
    <w:rsid w:val="00842C7E"/>
    <w:rsid w:val="008514B0"/>
    <w:rsid w:val="00851B9B"/>
    <w:rsid w:val="00865D6D"/>
    <w:rsid w:val="008664A6"/>
    <w:rsid w:val="00866542"/>
    <w:rsid w:val="00885674"/>
    <w:rsid w:val="00892591"/>
    <w:rsid w:val="008B4CC6"/>
    <w:rsid w:val="008C0962"/>
    <w:rsid w:val="008C3E40"/>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4827"/>
    <w:rsid w:val="009F66E0"/>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47FF0"/>
    <w:rsid w:val="00A61CFF"/>
    <w:rsid w:val="00A638D3"/>
    <w:rsid w:val="00A70C41"/>
    <w:rsid w:val="00A766F2"/>
    <w:rsid w:val="00A77789"/>
    <w:rsid w:val="00A77CCB"/>
    <w:rsid w:val="00A80BD5"/>
    <w:rsid w:val="00AA1E00"/>
    <w:rsid w:val="00AA6133"/>
    <w:rsid w:val="00AD7D8D"/>
    <w:rsid w:val="00AF2473"/>
    <w:rsid w:val="00B2443E"/>
    <w:rsid w:val="00B25E0F"/>
    <w:rsid w:val="00B266D3"/>
    <w:rsid w:val="00B27189"/>
    <w:rsid w:val="00B44958"/>
    <w:rsid w:val="00B45357"/>
    <w:rsid w:val="00B501E9"/>
    <w:rsid w:val="00B57683"/>
    <w:rsid w:val="00B60A27"/>
    <w:rsid w:val="00B60E99"/>
    <w:rsid w:val="00B64FBE"/>
    <w:rsid w:val="00B65605"/>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2AE9"/>
    <w:rsid w:val="00C43326"/>
    <w:rsid w:val="00C43660"/>
    <w:rsid w:val="00C440DA"/>
    <w:rsid w:val="00C470F6"/>
    <w:rsid w:val="00C47397"/>
    <w:rsid w:val="00C551FC"/>
    <w:rsid w:val="00C66623"/>
    <w:rsid w:val="00C70372"/>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A6645"/>
    <w:rsid w:val="00DB4265"/>
    <w:rsid w:val="00DC14E1"/>
    <w:rsid w:val="00DC74C5"/>
    <w:rsid w:val="00DD1973"/>
    <w:rsid w:val="00DD1D6F"/>
    <w:rsid w:val="00DD617D"/>
    <w:rsid w:val="00DE0B02"/>
    <w:rsid w:val="00DF075F"/>
    <w:rsid w:val="00E03C4E"/>
    <w:rsid w:val="00E15857"/>
    <w:rsid w:val="00E17D58"/>
    <w:rsid w:val="00E362B7"/>
    <w:rsid w:val="00E42F93"/>
    <w:rsid w:val="00E453E0"/>
    <w:rsid w:val="00E4591C"/>
    <w:rsid w:val="00E46296"/>
    <w:rsid w:val="00E71D84"/>
    <w:rsid w:val="00E77AF7"/>
    <w:rsid w:val="00E81AC0"/>
    <w:rsid w:val="00E9119A"/>
    <w:rsid w:val="00EA1162"/>
    <w:rsid w:val="00EA1625"/>
    <w:rsid w:val="00EA2920"/>
    <w:rsid w:val="00EA6E13"/>
    <w:rsid w:val="00EA7458"/>
    <w:rsid w:val="00EB51A7"/>
    <w:rsid w:val="00EE2E56"/>
    <w:rsid w:val="00EF2929"/>
    <w:rsid w:val="00EF4AEB"/>
    <w:rsid w:val="00F1127F"/>
    <w:rsid w:val="00F21DC8"/>
    <w:rsid w:val="00F253A4"/>
    <w:rsid w:val="00F34650"/>
    <w:rsid w:val="00F34F88"/>
    <w:rsid w:val="00F46906"/>
    <w:rsid w:val="00F527CC"/>
    <w:rsid w:val="00F53944"/>
    <w:rsid w:val="00F602C6"/>
    <w:rsid w:val="00F63C52"/>
    <w:rsid w:val="00F6756A"/>
    <w:rsid w:val="00F90F48"/>
    <w:rsid w:val="00FA3D5E"/>
    <w:rsid w:val="00FA4331"/>
    <w:rsid w:val="00FA4EE9"/>
    <w:rsid w:val="00FB00EB"/>
    <w:rsid w:val="00FB2518"/>
    <w:rsid w:val="00FB4D40"/>
    <w:rsid w:val="00FC76C9"/>
    <w:rsid w:val="00FD1D2C"/>
    <w:rsid w:val="00FD3B47"/>
    <w:rsid w:val="00FD4536"/>
    <w:rsid w:val="00FD4B5A"/>
    <w:rsid w:val="00FD7D0C"/>
    <w:rsid w:val="00FE2595"/>
    <w:rsid w:val="00FE2F66"/>
    <w:rsid w:val="00FE3DA8"/>
    <w:rsid w:val="00FE62D5"/>
    <w:rsid w:val="00FF2CD3"/>
    <w:rsid w:val="00FF57B2"/>
    <w:rsid w:val="013815FC"/>
    <w:rsid w:val="049EB77C"/>
    <w:rsid w:val="14FFC04A"/>
    <w:rsid w:val="15A8C673"/>
    <w:rsid w:val="15E416D7"/>
    <w:rsid w:val="16E4622A"/>
    <w:rsid w:val="1A30E7AF"/>
    <w:rsid w:val="1D31AB61"/>
    <w:rsid w:val="21D89ACD"/>
    <w:rsid w:val="24859332"/>
    <w:rsid w:val="25640519"/>
    <w:rsid w:val="26913109"/>
    <w:rsid w:val="26D451EB"/>
    <w:rsid w:val="271E4704"/>
    <w:rsid w:val="276F49AB"/>
    <w:rsid w:val="32114655"/>
    <w:rsid w:val="378C51B9"/>
    <w:rsid w:val="422FDC91"/>
    <w:rsid w:val="456CC68C"/>
    <w:rsid w:val="459DBFAD"/>
    <w:rsid w:val="4608B0A2"/>
    <w:rsid w:val="4EFC2EC7"/>
    <w:rsid w:val="5162B8F6"/>
    <w:rsid w:val="5168200F"/>
    <w:rsid w:val="58FF45ED"/>
    <w:rsid w:val="595CDB7F"/>
    <w:rsid w:val="5B797424"/>
    <w:rsid w:val="61D8E5F0"/>
    <w:rsid w:val="673E0EF7"/>
    <w:rsid w:val="681D85B6"/>
    <w:rsid w:val="6C79559B"/>
    <w:rsid w:val="72E678F9"/>
    <w:rsid w:val="78895EEE"/>
    <w:rsid w:val="7E756C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F6D5"/>
  <w15:chartTrackingRefBased/>
  <w15:docId w15:val="{52D56E82-D642-4EE5-848A-E5F22BC0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paragraph">
    <w:name w:val="paragraph"/>
    <w:basedOn w:val="Normal"/>
    <w:rsid w:val="00DA6645"/>
    <w:pPr>
      <w:spacing w:before="100" w:beforeAutospacing="1" w:after="100" w:afterAutospacing="1" w:line="240" w:lineRule="auto"/>
    </w:pPr>
    <w:rPr>
      <w:rFonts w:ascii="Times New Roman" w:eastAsia="Times New Roman" w:hAnsi="Times New Roman" w:cs="Times New Roman"/>
      <w:szCs w:val="24"/>
      <w:lang w:bidi="th-TH"/>
    </w:rPr>
  </w:style>
  <w:style w:type="character" w:customStyle="1" w:styleId="normaltextrun">
    <w:name w:val="normaltextrun"/>
    <w:basedOn w:val="DefaultParagraphFont"/>
    <w:rsid w:val="00DA6645"/>
  </w:style>
  <w:style w:type="character" w:customStyle="1" w:styleId="superscript">
    <w:name w:val="superscript"/>
    <w:basedOn w:val="DefaultParagraphFont"/>
    <w:rsid w:val="00DA6645"/>
  </w:style>
  <w:style w:type="character" w:customStyle="1" w:styleId="eop">
    <w:name w:val="eop"/>
    <w:basedOn w:val="DefaultParagraphFont"/>
    <w:rsid w:val="00DA6645"/>
  </w:style>
  <w:style w:type="paragraph" w:styleId="Revision">
    <w:name w:val="Revision"/>
    <w:hidden/>
    <w:uiPriority w:val="99"/>
    <w:semiHidden/>
    <w:rsid w:val="00DA6645"/>
    <w:pPr>
      <w:spacing w:before="0" w:after="0" w:line="240" w:lineRule="auto"/>
    </w:pPr>
    <w:rPr>
      <w:sz w:val="24"/>
      <w:lang w:val="en-US"/>
    </w:rPr>
  </w:style>
  <w:style w:type="paragraph" w:customStyle="1" w:styleId="Normal0">
    <w:name w:val="Normal0"/>
    <w:qFormat/>
    <w:rsid w:val="00A638D3"/>
    <w:pPr>
      <w:spacing w:before="0" w:after="200" w:line="276" w:lineRule="auto"/>
    </w:pPr>
    <w:rPr>
      <w:rFonts w:ascii="Georgia" w:eastAsia="Calibri" w:hAnsi="Georg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en/strateg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dgs.un.org/goals/goal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ivilsocietyhealth.org/website/wp-content/uploads/2022/12/2022_Security-Toolkit-EN_v04-1.pdf" TargetMode="External"/><Relationship Id="rId2" Type="http://schemas.openxmlformats.org/officeDocument/2006/relationships/hyperlink" Target="https://www.theglobalfund.org/media/13745/lfa_review-implementation-community-led-monitoring_tor_en.docx" TargetMode="External"/><Relationship Id="rId1" Type="http://schemas.openxmlformats.org/officeDocument/2006/relationships/hyperlink" Target="https://www.theglobalfund.org/media/13745/lfa_review-implementation-community-led-monitoring_tor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bb1f845b-3ed3-42af-93aa-6d20a8735fd1","elementConfiguration":{"inheritDimensions":"{{InheritDimensions.InheritHeight}}","image":"{{Form.DocLang.Logo_stacked_colour.Image}}","removeAndKeepContent":false,"disableUpdates":false,"type":"image"}},{"type":"pictureContentControl","id":"e25da11a-b2b1-433a-af83-7b03500f3f87","elementConfiguration":{"inheritDimensions":"{{InheritDimensions.InheritHeight}}","image":"{{Form.DocLang.Logo_horizontal.Image}}","removeAndKeepContent":false,"disableUpdates":false,"type":"image"}},{"type":"pictureContentControl","id":"cd9dfd85-256a-4258-9291-92ffa96573ba","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2</TotalTime>
  <Pages>6</Pages>
  <Words>1838</Words>
  <Characters>10483</Characters>
  <DocSecurity>0</DocSecurity>
  <Lines>87</Lines>
  <Paragraphs>24</Paragraphs>
  <ScaleCrop>false</ScaleCrop>
  <Company/>
  <LinksUpToDate>false</LinksUpToDate>
  <CharactersWithSpaces>12297</CharactersWithSpaces>
  <SharedDoc>false</SharedDoc>
  <HLinks>
    <vt:vector size="30" baseType="variant">
      <vt:variant>
        <vt:i4>3080303</vt:i4>
      </vt:variant>
      <vt:variant>
        <vt:i4>3</vt:i4>
      </vt:variant>
      <vt:variant>
        <vt:i4>0</vt:i4>
      </vt:variant>
      <vt:variant>
        <vt:i4>5</vt:i4>
      </vt:variant>
      <vt:variant>
        <vt:lpwstr>https://sdgs.un.org/goals/goal3</vt:lpwstr>
      </vt:variant>
      <vt:variant>
        <vt:lpwstr/>
      </vt:variant>
      <vt:variant>
        <vt:i4>6357097</vt:i4>
      </vt:variant>
      <vt:variant>
        <vt:i4>0</vt:i4>
      </vt:variant>
      <vt:variant>
        <vt:i4>0</vt:i4>
      </vt:variant>
      <vt:variant>
        <vt:i4>5</vt:i4>
      </vt:variant>
      <vt:variant>
        <vt:lpwstr>https://www.theglobalfund.org/en/strategy/</vt:lpwstr>
      </vt:variant>
      <vt:variant>
        <vt:lpwstr/>
      </vt:variant>
      <vt:variant>
        <vt:i4>589892</vt:i4>
      </vt:variant>
      <vt:variant>
        <vt:i4>6</vt:i4>
      </vt:variant>
      <vt:variant>
        <vt:i4>0</vt:i4>
      </vt:variant>
      <vt:variant>
        <vt:i4>5</vt:i4>
      </vt:variant>
      <vt:variant>
        <vt:lpwstr>https://www.civilsocietyhealth.org/website/wp-content/uploads/2022/12/2022_Security-Toolkit-EN_v04-1.pdf</vt:lpwstr>
      </vt:variant>
      <vt:variant>
        <vt:lpwstr/>
      </vt:variant>
      <vt:variant>
        <vt:i4>6291546</vt:i4>
      </vt:variant>
      <vt:variant>
        <vt:i4>2</vt:i4>
      </vt:variant>
      <vt:variant>
        <vt:i4>0</vt:i4>
      </vt:variant>
      <vt:variant>
        <vt:i4>5</vt:i4>
      </vt:variant>
      <vt:variant>
        <vt:lpwstr>https://www.theglobalfund.org/media/13745/lfa_review-implementation-community-led-monitoring_tor_en.docx</vt:lpwstr>
      </vt:variant>
      <vt:variant>
        <vt:lpwstr/>
      </vt:variant>
      <vt:variant>
        <vt:i4>6291546</vt:i4>
      </vt:variant>
      <vt:variant>
        <vt:i4>0</vt:i4>
      </vt:variant>
      <vt:variant>
        <vt:i4>0</vt:i4>
      </vt:variant>
      <vt:variant>
        <vt:i4>5</vt:i4>
      </vt:variant>
      <vt:variant>
        <vt:lpwstr>https://www.theglobalfund.org/media/13745/lfa_review-implementation-community-led-monitoring_tor_en.docx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2025-07-30T10:43:00Z</dcterms:created>
  <dcterms:modified xsi:type="dcterms:W3CDTF">2025-07-30T10:45:00Z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0x010100AE7BB0401969534BB561823CB4051602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709319432723502360</vt:lpwstr>
  </property>
  <property fmtid="{D5CDD505-2E9C-101B-9397-08002B2CF9AE}" pid="7" name="TemplafyFromBlank">
    <vt:bool>false</vt:bool>
  </property>
</Properties>
</file>