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00A" w:rsidRDefault="00F03561" w:rsidP="008B436E">
      <w:pPr>
        <w:pStyle w:val="MF"/>
        <w:sectPr w:rsidR="006F700A" w:rsidSect="001F0CEE">
          <w:headerReference w:type="default" r:id="rId11"/>
          <w:footerReference w:type="default" r:id="rId12"/>
          <w:headerReference w:type="first" r:id="rId13"/>
          <w:footerReference w:type="first" r:id="rId14"/>
          <w:pgSz w:w="11900" w:h="16840"/>
          <w:pgMar w:top="2268" w:right="1134" w:bottom="1701" w:left="1134" w:header="851" w:footer="851" w:gutter="0"/>
          <w:cols w:space="720"/>
          <w:docGrid w:linePitch="360"/>
        </w:sectPr>
      </w:pPr>
      <w:r>
        <w:t>Guidance Note</w:t>
      </w:r>
    </w:p>
    <w:p w:rsidR="00F03561" w:rsidRDefault="00F03561" w:rsidP="006314EA">
      <w:pPr>
        <w:rPr>
          <w:b/>
          <w:color w:val="000000" w:themeColor="text1"/>
          <w:sz w:val="28"/>
          <w:szCs w:val="28"/>
        </w:rPr>
      </w:pPr>
    </w:p>
    <w:p w:rsidR="009B30E0" w:rsidRPr="009B30E0" w:rsidRDefault="00B459C2" w:rsidP="009B30E0">
      <w:pPr>
        <w:rPr>
          <w:b/>
          <w:color w:val="000000" w:themeColor="text1"/>
          <w:sz w:val="28"/>
          <w:szCs w:val="28"/>
        </w:rPr>
      </w:pPr>
      <w:bookmarkStart w:id="0" w:name="_Hlk31378098"/>
      <w:r>
        <w:rPr>
          <w:b/>
          <w:color w:val="000000" w:themeColor="text1"/>
          <w:sz w:val="28"/>
          <w:szCs w:val="28"/>
        </w:rPr>
        <w:t xml:space="preserve">Local Fund Agent </w:t>
      </w:r>
      <w:r w:rsidR="009B30E0" w:rsidRPr="009B30E0">
        <w:rPr>
          <w:b/>
          <w:color w:val="000000" w:themeColor="text1"/>
          <w:sz w:val="28"/>
          <w:szCs w:val="28"/>
        </w:rPr>
        <w:t xml:space="preserve">Term of reference </w:t>
      </w:r>
      <w:bookmarkStart w:id="1" w:name="_Hlk31871170"/>
      <w:r w:rsidR="004D3790">
        <w:rPr>
          <w:b/>
          <w:color w:val="000000" w:themeColor="text1"/>
          <w:sz w:val="28"/>
          <w:szCs w:val="28"/>
        </w:rPr>
        <w:t>for the</w:t>
      </w:r>
      <w:r w:rsidR="009B30E0" w:rsidRPr="009B30E0">
        <w:rPr>
          <w:b/>
          <w:color w:val="000000" w:themeColor="text1"/>
          <w:sz w:val="28"/>
          <w:szCs w:val="28"/>
        </w:rPr>
        <w:t xml:space="preserve"> Review of independence and effectiveness of internal audit </w:t>
      </w:r>
      <w:r w:rsidR="0019690E">
        <w:rPr>
          <w:b/>
          <w:color w:val="000000" w:themeColor="text1"/>
          <w:sz w:val="28"/>
          <w:szCs w:val="28"/>
        </w:rPr>
        <w:t>function</w:t>
      </w:r>
      <w:bookmarkEnd w:id="0"/>
      <w:bookmarkEnd w:id="1"/>
    </w:p>
    <w:p w:rsidR="003B6B68" w:rsidRDefault="003B6B68" w:rsidP="006314EA">
      <w:pPr>
        <w:rPr>
          <w:b/>
          <w:color w:val="000000" w:themeColor="text1"/>
          <w:sz w:val="28"/>
          <w:szCs w:val="28"/>
        </w:rPr>
      </w:pPr>
      <w:bookmarkStart w:id="2" w:name="_GoBack"/>
      <w:bookmarkEnd w:id="2"/>
    </w:p>
    <w:p w:rsidR="003F7284" w:rsidRPr="00FC7C04" w:rsidRDefault="003F7284" w:rsidP="006314EA">
      <w:pPr>
        <w:rPr>
          <w:b/>
          <w:color w:val="000000" w:themeColor="text1"/>
          <w:sz w:val="28"/>
          <w:szCs w:val="28"/>
        </w:rPr>
      </w:pPr>
    </w:p>
    <w:p w:rsidR="003B6B68" w:rsidRPr="003F7284" w:rsidRDefault="009B30E0" w:rsidP="003B6B68">
      <w:pPr>
        <w:pStyle w:val="NoSpacing"/>
        <w:jc w:val="both"/>
        <w:rPr>
          <w:rFonts w:ascii="Georgia" w:hAnsi="Georgia"/>
          <w:b/>
        </w:rPr>
      </w:pPr>
      <w:r>
        <w:rPr>
          <w:rFonts w:ascii="Georgia" w:hAnsi="Georgia"/>
          <w:b/>
        </w:rPr>
        <w:t xml:space="preserve">Background </w:t>
      </w:r>
    </w:p>
    <w:p w:rsidR="003B6B68" w:rsidRPr="003F7284" w:rsidRDefault="003B6B68" w:rsidP="003B6B68">
      <w:pPr>
        <w:pStyle w:val="NoSpacing"/>
        <w:jc w:val="both"/>
        <w:rPr>
          <w:rFonts w:ascii="Georgia" w:hAnsi="Georgia"/>
        </w:rPr>
      </w:pPr>
    </w:p>
    <w:p w:rsidR="009B30E0" w:rsidRPr="00FB0853" w:rsidRDefault="009B30E0" w:rsidP="009B30E0">
      <w:pPr>
        <w:pStyle w:val="ListParagraph"/>
        <w:numPr>
          <w:ilvl w:val="0"/>
          <w:numId w:val="23"/>
        </w:numPr>
        <w:spacing w:after="160" w:line="259" w:lineRule="auto"/>
        <w:jc w:val="both"/>
        <w:rPr>
          <w:rFonts w:cs="Arial"/>
        </w:rPr>
      </w:pPr>
      <w:r w:rsidRPr="00FB0853">
        <w:rPr>
          <w:rFonts w:cs="Arial"/>
        </w:rPr>
        <w:t xml:space="preserve">The Global Fund Assurance framework consider the implementer’s internal audit function as an assurance provider for programs. However, this will be considered only under certain circumstances confirmed through an assessment. Section 4 of the </w:t>
      </w:r>
      <w:hyperlink r:id="rId15" w:history="1">
        <w:r w:rsidRPr="00FB0853">
          <w:rPr>
            <w:rStyle w:val="Hyperlink"/>
            <w:rFonts w:cs="Arial"/>
          </w:rPr>
          <w:t>Global Fund's Financial Management Handbook for Grant Implementer (Implementer’s handbook</w:t>
        </w:r>
      </w:hyperlink>
      <w:r w:rsidRPr="00FB0853">
        <w:rPr>
          <w:rStyle w:val="FootnoteReference"/>
          <w:rFonts w:cs="Arial"/>
        </w:rPr>
        <w:footnoteReference w:id="1"/>
      </w:r>
      <w:r w:rsidRPr="00FB0853">
        <w:rPr>
          <w:rFonts w:cs="Arial"/>
        </w:rPr>
        <w:t xml:space="preserve">, establishes the key principles and best practices for grant implementation including  internal audit function. </w:t>
      </w:r>
    </w:p>
    <w:p w:rsidR="009B30E0" w:rsidRPr="00FB0853" w:rsidRDefault="009B30E0" w:rsidP="009B30E0">
      <w:pPr>
        <w:pStyle w:val="ListParagraph"/>
        <w:ind w:left="360"/>
        <w:jc w:val="both"/>
        <w:rPr>
          <w:rFonts w:cs="Arial"/>
        </w:rPr>
      </w:pPr>
    </w:p>
    <w:p w:rsidR="009B30E0" w:rsidRPr="00FB0853" w:rsidRDefault="009B30E0" w:rsidP="009B30E0">
      <w:pPr>
        <w:pStyle w:val="ListParagraph"/>
        <w:numPr>
          <w:ilvl w:val="0"/>
          <w:numId w:val="23"/>
        </w:numPr>
        <w:spacing w:after="160" w:line="259" w:lineRule="auto"/>
        <w:jc w:val="both"/>
        <w:rPr>
          <w:rFonts w:cs="Arial"/>
        </w:rPr>
      </w:pPr>
      <w:r w:rsidRPr="00FB0853">
        <w:rPr>
          <w:rFonts w:cs="Arial"/>
        </w:rPr>
        <w:t>The Implementer's Handbook describes the internal audit (IA) function as an independent, objective assurance and consulting activity designed to add value, improve an organization’s operations, assisting on accomplishing its objectives by bringing a systematic, disciplined approach to evaluate and improve the effectiveness of the risk management, control and governance processes</w:t>
      </w:r>
      <w:r w:rsidRPr="00FB0853">
        <w:rPr>
          <w:rStyle w:val="FootnoteReference"/>
          <w:rFonts w:cs="Arial"/>
        </w:rPr>
        <w:footnoteReference w:id="2"/>
      </w:r>
      <w:r w:rsidRPr="00FB0853">
        <w:rPr>
          <w:rFonts w:cs="Arial"/>
        </w:rPr>
        <w:t xml:space="preserve">. </w:t>
      </w:r>
    </w:p>
    <w:p w:rsidR="009B30E0" w:rsidRPr="008E1302" w:rsidRDefault="009B30E0" w:rsidP="009B30E0">
      <w:pPr>
        <w:pStyle w:val="ListParagraph"/>
        <w:rPr>
          <w:rFonts w:cs="Arial"/>
        </w:rPr>
      </w:pPr>
    </w:p>
    <w:p w:rsidR="009B30E0" w:rsidRPr="00FB0853" w:rsidRDefault="009B30E0" w:rsidP="009B30E0">
      <w:pPr>
        <w:pStyle w:val="ListParagraph"/>
        <w:numPr>
          <w:ilvl w:val="0"/>
          <w:numId w:val="23"/>
        </w:numPr>
        <w:spacing w:after="160" w:line="259" w:lineRule="auto"/>
        <w:jc w:val="both"/>
        <w:rPr>
          <w:rFonts w:cs="Arial"/>
        </w:rPr>
      </w:pPr>
      <w:r w:rsidRPr="00FB0853">
        <w:rPr>
          <w:rFonts w:cs="Arial"/>
        </w:rPr>
        <w:t xml:space="preserve">The adequacy and efficiency of the Internal Audit function should be evaluated preferably during grant negotiations, or during the first year of the grant. It is expected that such assessment should be performed by the Country Teams in High Impact and Core portfolios at least once every five years. For Focused countries, the assessment should be done on a need basis. </w:t>
      </w:r>
    </w:p>
    <w:p w:rsidR="009B30E0" w:rsidRPr="008E1302" w:rsidRDefault="009B30E0" w:rsidP="009B30E0">
      <w:pPr>
        <w:pStyle w:val="ListParagraph"/>
        <w:rPr>
          <w:rFonts w:cs="Arial"/>
        </w:rPr>
      </w:pPr>
    </w:p>
    <w:p w:rsidR="009B30E0" w:rsidRPr="00FB0853" w:rsidRDefault="009B30E0" w:rsidP="009B30E0">
      <w:pPr>
        <w:pStyle w:val="ListParagraph"/>
        <w:numPr>
          <w:ilvl w:val="0"/>
          <w:numId w:val="23"/>
        </w:numPr>
        <w:spacing w:after="160" w:line="259" w:lineRule="auto"/>
        <w:jc w:val="both"/>
        <w:rPr>
          <w:rFonts w:cs="Arial"/>
        </w:rPr>
      </w:pPr>
      <w:r w:rsidRPr="00FB0853">
        <w:rPr>
          <w:rFonts w:cs="Arial"/>
        </w:rPr>
        <w:t xml:space="preserve">Where deemed independent and effective, the Global Fund may rely on the implementer’s internal audit as one of the assurance providers for the grant. </w:t>
      </w:r>
    </w:p>
    <w:p w:rsidR="003B6B68" w:rsidRPr="003F7284" w:rsidRDefault="003B6B68" w:rsidP="003B6B68">
      <w:pPr>
        <w:pStyle w:val="NoSpacing"/>
        <w:jc w:val="both"/>
        <w:rPr>
          <w:rFonts w:ascii="Georgia" w:hAnsi="Georgia"/>
        </w:rPr>
      </w:pPr>
    </w:p>
    <w:p w:rsidR="009B30E0" w:rsidRPr="009B30E0" w:rsidRDefault="009B30E0" w:rsidP="009B30E0">
      <w:pPr>
        <w:pStyle w:val="NoSpacing"/>
        <w:jc w:val="both"/>
        <w:rPr>
          <w:rFonts w:ascii="Georgia" w:hAnsi="Georgia"/>
          <w:b/>
        </w:rPr>
      </w:pPr>
      <w:r w:rsidRPr="009B30E0">
        <w:rPr>
          <w:rFonts w:ascii="Georgia" w:hAnsi="Georgia"/>
          <w:b/>
        </w:rPr>
        <w:t>Objective of the assignment</w:t>
      </w:r>
    </w:p>
    <w:p w:rsidR="003B6B68" w:rsidRDefault="003B6B68" w:rsidP="003B6B68">
      <w:pPr>
        <w:pStyle w:val="NoSpacing"/>
        <w:jc w:val="both"/>
        <w:rPr>
          <w:rFonts w:ascii="Georgia" w:hAnsi="Georgia"/>
        </w:rPr>
      </w:pPr>
    </w:p>
    <w:p w:rsidR="009B30E0" w:rsidRDefault="009B30E0" w:rsidP="009B30E0">
      <w:pPr>
        <w:jc w:val="both"/>
        <w:rPr>
          <w:rFonts w:cs="Arial"/>
        </w:rPr>
      </w:pPr>
      <w:r w:rsidRPr="009B30E0">
        <w:rPr>
          <w:rFonts w:cs="Arial"/>
        </w:rPr>
        <w:t>The review should be performed by the LFA at the request of the Global Fund Country Team.</w:t>
      </w:r>
    </w:p>
    <w:p w:rsidR="009B30E0" w:rsidRPr="009B30E0" w:rsidRDefault="009B30E0" w:rsidP="009B30E0">
      <w:pPr>
        <w:jc w:val="both"/>
        <w:rPr>
          <w:rFonts w:cs="Arial"/>
        </w:rPr>
      </w:pPr>
    </w:p>
    <w:p w:rsidR="009B30E0" w:rsidRPr="009B30E0" w:rsidRDefault="009B30E0" w:rsidP="009B30E0">
      <w:pPr>
        <w:pStyle w:val="ListParagraph"/>
        <w:numPr>
          <w:ilvl w:val="0"/>
          <w:numId w:val="23"/>
        </w:numPr>
        <w:spacing w:after="160" w:line="259" w:lineRule="auto"/>
        <w:jc w:val="both"/>
        <w:rPr>
          <w:rFonts w:cs="Arial"/>
        </w:rPr>
      </w:pPr>
      <w:r w:rsidRPr="009B30E0">
        <w:rPr>
          <w:rFonts w:cs="Arial"/>
        </w:rPr>
        <w:t xml:space="preserve">The objective of the review is to assess whether the implementer’s internal audit function is optimal given the grant’s risks and to assess whether the Global Fund Country Team could place reliance on the implementer’s internal audit function.  </w:t>
      </w:r>
    </w:p>
    <w:p w:rsidR="009B30E0" w:rsidRPr="009B30E0" w:rsidRDefault="009B30E0" w:rsidP="009B30E0">
      <w:pPr>
        <w:pStyle w:val="ListParagraph"/>
        <w:spacing w:after="160" w:line="259" w:lineRule="auto"/>
        <w:ind w:left="360"/>
        <w:jc w:val="both"/>
        <w:rPr>
          <w:rFonts w:cs="Arial"/>
        </w:rPr>
      </w:pPr>
    </w:p>
    <w:p w:rsidR="009B30E0" w:rsidRPr="009B30E0" w:rsidRDefault="009B30E0" w:rsidP="009B30E0">
      <w:pPr>
        <w:pStyle w:val="ListParagraph"/>
        <w:numPr>
          <w:ilvl w:val="0"/>
          <w:numId w:val="23"/>
        </w:numPr>
        <w:spacing w:after="160" w:line="259" w:lineRule="auto"/>
        <w:jc w:val="both"/>
        <w:rPr>
          <w:rFonts w:cs="Arial"/>
        </w:rPr>
      </w:pPr>
      <w:r w:rsidRPr="009B30E0">
        <w:rPr>
          <w:rFonts w:cs="Arial"/>
        </w:rPr>
        <w:t>It is expected that an LFA will provide recommendations on how to improve the effectiveness of the internal audit function.</w:t>
      </w:r>
    </w:p>
    <w:p w:rsidR="009B30E0" w:rsidRDefault="009B30E0" w:rsidP="009B30E0">
      <w:pPr>
        <w:pStyle w:val="ListParagraph"/>
        <w:spacing w:after="160" w:line="259" w:lineRule="auto"/>
        <w:ind w:left="360"/>
        <w:jc w:val="both"/>
        <w:rPr>
          <w:rFonts w:cs="Arial"/>
        </w:rPr>
      </w:pPr>
    </w:p>
    <w:p w:rsidR="009B30E0" w:rsidRPr="009B30E0" w:rsidRDefault="009B30E0" w:rsidP="009B30E0">
      <w:pPr>
        <w:pStyle w:val="ListParagraph"/>
        <w:numPr>
          <w:ilvl w:val="0"/>
          <w:numId w:val="23"/>
        </w:numPr>
        <w:spacing w:after="160" w:line="259" w:lineRule="auto"/>
        <w:jc w:val="both"/>
        <w:rPr>
          <w:rFonts w:cs="Arial"/>
        </w:rPr>
      </w:pPr>
      <w:r w:rsidRPr="009B30E0">
        <w:rPr>
          <w:rFonts w:cs="Arial"/>
        </w:rPr>
        <w:t>The review should also consider how internal audit and external audit complement each other from a grant assurance perspective and provide recommendations where necessary.</w:t>
      </w:r>
    </w:p>
    <w:p w:rsidR="009B30E0" w:rsidRPr="003F7284" w:rsidRDefault="009B30E0" w:rsidP="003B6B68">
      <w:pPr>
        <w:pStyle w:val="NoSpacing"/>
        <w:jc w:val="both"/>
        <w:rPr>
          <w:rFonts w:ascii="Georgia" w:hAnsi="Georgia"/>
        </w:rPr>
      </w:pPr>
    </w:p>
    <w:p w:rsidR="003B6B68" w:rsidRPr="003F7284" w:rsidRDefault="003B6B68" w:rsidP="003B6B68">
      <w:pPr>
        <w:pStyle w:val="NoSpacing"/>
        <w:jc w:val="both"/>
        <w:rPr>
          <w:rFonts w:ascii="Georgia" w:hAnsi="Georgia"/>
        </w:rPr>
      </w:pPr>
    </w:p>
    <w:p w:rsidR="003B6B68" w:rsidRPr="003F7284" w:rsidRDefault="003B6B68" w:rsidP="003B6B68">
      <w:pPr>
        <w:pStyle w:val="NoSpacing"/>
        <w:jc w:val="both"/>
        <w:rPr>
          <w:rFonts w:ascii="Georgia" w:hAnsi="Georgia"/>
          <w:b/>
        </w:rPr>
      </w:pPr>
      <w:r w:rsidRPr="003F7284">
        <w:rPr>
          <w:rFonts w:ascii="Georgia" w:hAnsi="Georgia"/>
          <w:b/>
        </w:rPr>
        <w:t>Scope of Work</w:t>
      </w:r>
    </w:p>
    <w:p w:rsidR="003B6B68" w:rsidRDefault="003B6B68" w:rsidP="003B6B68">
      <w:pPr>
        <w:pStyle w:val="NoSpacing"/>
        <w:jc w:val="both"/>
        <w:rPr>
          <w:rFonts w:ascii="Georgia" w:hAnsi="Georgia"/>
        </w:rPr>
      </w:pPr>
    </w:p>
    <w:p w:rsidR="009B30E0" w:rsidRDefault="009B30E0" w:rsidP="009B30E0">
      <w:pPr>
        <w:pStyle w:val="ListParagraph"/>
        <w:numPr>
          <w:ilvl w:val="0"/>
          <w:numId w:val="23"/>
        </w:numPr>
        <w:spacing w:after="160" w:line="259" w:lineRule="auto"/>
        <w:jc w:val="both"/>
        <w:rPr>
          <w:rFonts w:ascii="Arial" w:hAnsi="Arial" w:cs="Arial"/>
        </w:rPr>
      </w:pPr>
      <w:r>
        <w:rPr>
          <w:rFonts w:ascii="Arial" w:hAnsi="Arial" w:cs="Arial"/>
        </w:rPr>
        <w:t>The review should include an interview with the internal auditor. Such interview should be facilitated by the Principal Recipient at requested by the Country Team.</w:t>
      </w:r>
    </w:p>
    <w:p w:rsidR="009B30E0" w:rsidRDefault="009B30E0" w:rsidP="009B30E0">
      <w:pPr>
        <w:pStyle w:val="ListParagraph"/>
        <w:ind w:left="360"/>
        <w:jc w:val="both"/>
        <w:rPr>
          <w:rFonts w:ascii="Arial" w:hAnsi="Arial" w:cs="Arial"/>
        </w:rPr>
      </w:pPr>
    </w:p>
    <w:p w:rsidR="009B30E0" w:rsidRDefault="009B30E0" w:rsidP="009B30E0">
      <w:pPr>
        <w:pStyle w:val="ListParagraph"/>
        <w:numPr>
          <w:ilvl w:val="0"/>
          <w:numId w:val="23"/>
        </w:numPr>
        <w:spacing w:after="160" w:line="259" w:lineRule="auto"/>
        <w:jc w:val="both"/>
        <w:rPr>
          <w:rFonts w:ascii="Arial" w:hAnsi="Arial" w:cs="Arial"/>
        </w:rPr>
      </w:pPr>
      <w:r>
        <w:rPr>
          <w:rFonts w:ascii="Arial" w:hAnsi="Arial" w:cs="Arial"/>
        </w:rPr>
        <w:t xml:space="preserve">The review could be a desk review with the use </w:t>
      </w:r>
      <w:proofErr w:type="gramStart"/>
      <w:r>
        <w:rPr>
          <w:rFonts w:ascii="Arial" w:hAnsi="Arial" w:cs="Arial"/>
        </w:rPr>
        <w:t>of  the</w:t>
      </w:r>
      <w:proofErr w:type="gramEnd"/>
      <w:r>
        <w:rPr>
          <w:rFonts w:ascii="Arial" w:hAnsi="Arial" w:cs="Arial"/>
        </w:rPr>
        <w:t xml:space="preserve"> following documents (indicative list):</w:t>
      </w:r>
    </w:p>
    <w:p w:rsidR="009B30E0" w:rsidRDefault="004475D7" w:rsidP="009B30E0">
      <w:pPr>
        <w:pStyle w:val="ListParagraph"/>
        <w:numPr>
          <w:ilvl w:val="0"/>
          <w:numId w:val="24"/>
        </w:numPr>
        <w:autoSpaceDE w:val="0"/>
        <w:autoSpaceDN w:val="0"/>
        <w:adjustRightInd w:val="0"/>
        <w:jc w:val="both"/>
        <w:rPr>
          <w:rFonts w:ascii="Arial" w:hAnsi="Arial" w:cs="Arial"/>
        </w:rPr>
      </w:pPr>
      <w:hyperlink r:id="rId16" w:history="1">
        <w:r w:rsidR="009B30E0" w:rsidRPr="00D16F9A">
          <w:rPr>
            <w:rStyle w:val="Hyperlink"/>
            <w:rFonts w:cs="Arial"/>
          </w:rPr>
          <w:t>The Financial Management Handbook for Grant Implementer</w:t>
        </w:r>
      </w:hyperlink>
    </w:p>
    <w:p w:rsidR="009B30E0" w:rsidRDefault="009B30E0" w:rsidP="009B30E0">
      <w:pPr>
        <w:pStyle w:val="ListParagraph"/>
        <w:numPr>
          <w:ilvl w:val="0"/>
          <w:numId w:val="24"/>
        </w:numPr>
        <w:autoSpaceDE w:val="0"/>
        <w:autoSpaceDN w:val="0"/>
        <w:adjustRightInd w:val="0"/>
        <w:jc w:val="both"/>
        <w:rPr>
          <w:rFonts w:ascii="Arial" w:hAnsi="Arial" w:cs="Arial"/>
        </w:rPr>
      </w:pPr>
      <w:r>
        <w:rPr>
          <w:rFonts w:ascii="Arial" w:hAnsi="Arial" w:cs="Arial"/>
        </w:rPr>
        <w:t>The Global Fund financial risk and assurance plans</w:t>
      </w:r>
      <w:r>
        <w:rPr>
          <w:rStyle w:val="FootnoteReference"/>
          <w:rFonts w:ascii="Arial" w:hAnsi="Arial" w:cs="Arial"/>
        </w:rPr>
        <w:footnoteReference w:id="3"/>
      </w:r>
    </w:p>
    <w:p w:rsidR="009B30E0" w:rsidRPr="009B30E0" w:rsidRDefault="009B30E0" w:rsidP="009B30E0">
      <w:pPr>
        <w:pStyle w:val="ListParagraph"/>
        <w:numPr>
          <w:ilvl w:val="0"/>
          <w:numId w:val="24"/>
        </w:numPr>
        <w:autoSpaceDE w:val="0"/>
        <w:autoSpaceDN w:val="0"/>
        <w:adjustRightInd w:val="0"/>
        <w:jc w:val="both"/>
        <w:rPr>
          <w:rFonts w:ascii="Arial" w:hAnsi="Arial" w:cs="Arial"/>
        </w:rPr>
      </w:pPr>
      <w:r w:rsidRPr="009B30E0">
        <w:rPr>
          <w:rFonts w:ascii="Arial" w:hAnsi="Arial" w:cs="Arial"/>
        </w:rPr>
        <w:t>The grant’s Summary Budget and Performance Framework</w:t>
      </w:r>
    </w:p>
    <w:p w:rsidR="009B30E0" w:rsidRPr="009B30E0" w:rsidRDefault="009B30E0" w:rsidP="009B30E0">
      <w:pPr>
        <w:pStyle w:val="ListParagraph"/>
        <w:numPr>
          <w:ilvl w:val="0"/>
          <w:numId w:val="24"/>
        </w:numPr>
        <w:autoSpaceDE w:val="0"/>
        <w:autoSpaceDN w:val="0"/>
        <w:adjustRightInd w:val="0"/>
        <w:jc w:val="both"/>
        <w:rPr>
          <w:rFonts w:ascii="Arial" w:hAnsi="Arial" w:cs="Arial"/>
        </w:rPr>
      </w:pPr>
      <w:r w:rsidRPr="009B30E0">
        <w:rPr>
          <w:rFonts w:ascii="Arial" w:hAnsi="Arial" w:cs="Arial"/>
        </w:rPr>
        <w:t>The grant’s implementation map</w:t>
      </w:r>
    </w:p>
    <w:p w:rsidR="009B30E0" w:rsidRDefault="009B30E0" w:rsidP="009B30E0">
      <w:pPr>
        <w:pStyle w:val="ListParagraph"/>
        <w:numPr>
          <w:ilvl w:val="0"/>
          <w:numId w:val="24"/>
        </w:numPr>
        <w:autoSpaceDE w:val="0"/>
        <w:autoSpaceDN w:val="0"/>
        <w:adjustRightInd w:val="0"/>
        <w:jc w:val="both"/>
        <w:rPr>
          <w:rFonts w:ascii="Arial" w:hAnsi="Arial" w:cs="Arial"/>
        </w:rPr>
      </w:pPr>
      <w:r>
        <w:rPr>
          <w:rFonts w:ascii="Arial" w:hAnsi="Arial" w:cs="Arial"/>
        </w:rPr>
        <w:t>The Key Risk Matrix</w:t>
      </w:r>
    </w:p>
    <w:p w:rsidR="009B30E0" w:rsidRDefault="009B30E0" w:rsidP="009B30E0">
      <w:pPr>
        <w:pStyle w:val="ListParagraph"/>
        <w:numPr>
          <w:ilvl w:val="0"/>
          <w:numId w:val="24"/>
        </w:numPr>
        <w:autoSpaceDE w:val="0"/>
        <w:autoSpaceDN w:val="0"/>
        <w:adjustRightInd w:val="0"/>
        <w:jc w:val="both"/>
        <w:rPr>
          <w:rFonts w:ascii="Arial" w:hAnsi="Arial" w:cs="Arial"/>
        </w:rPr>
      </w:pPr>
      <w:r>
        <w:rPr>
          <w:rFonts w:ascii="Arial" w:hAnsi="Arial" w:cs="Arial"/>
        </w:rPr>
        <w:t>The external audit terms of reference</w:t>
      </w:r>
    </w:p>
    <w:p w:rsidR="009B30E0" w:rsidRDefault="009B30E0" w:rsidP="009B30E0">
      <w:pPr>
        <w:pStyle w:val="ListParagraph"/>
        <w:numPr>
          <w:ilvl w:val="0"/>
          <w:numId w:val="24"/>
        </w:numPr>
        <w:autoSpaceDE w:val="0"/>
        <w:autoSpaceDN w:val="0"/>
        <w:adjustRightInd w:val="0"/>
        <w:jc w:val="both"/>
        <w:rPr>
          <w:rFonts w:ascii="Arial" w:hAnsi="Arial" w:cs="Arial"/>
        </w:rPr>
      </w:pPr>
      <w:r>
        <w:rPr>
          <w:rFonts w:ascii="Arial" w:hAnsi="Arial" w:cs="Arial"/>
        </w:rPr>
        <w:t>The Global Fund performance letters</w:t>
      </w:r>
    </w:p>
    <w:p w:rsidR="009B30E0" w:rsidRDefault="009B30E0" w:rsidP="009B30E0">
      <w:pPr>
        <w:pStyle w:val="ListParagraph"/>
        <w:numPr>
          <w:ilvl w:val="0"/>
          <w:numId w:val="24"/>
        </w:numPr>
        <w:autoSpaceDE w:val="0"/>
        <w:autoSpaceDN w:val="0"/>
        <w:adjustRightInd w:val="0"/>
        <w:jc w:val="both"/>
        <w:rPr>
          <w:rFonts w:ascii="Arial" w:hAnsi="Arial" w:cs="Arial"/>
        </w:rPr>
      </w:pPr>
      <w:r w:rsidRPr="00B476EB">
        <w:rPr>
          <w:rFonts w:ascii="Arial" w:hAnsi="Arial" w:cs="Arial"/>
        </w:rPr>
        <w:t xml:space="preserve">Prior external audit reports </w:t>
      </w:r>
      <w:r>
        <w:rPr>
          <w:rFonts w:ascii="Arial" w:hAnsi="Arial" w:cs="Arial"/>
        </w:rPr>
        <w:t xml:space="preserve">Prior </w:t>
      </w:r>
      <w:r w:rsidRPr="00B476EB">
        <w:rPr>
          <w:rFonts w:ascii="Arial" w:hAnsi="Arial" w:cs="Arial"/>
        </w:rPr>
        <w:t>external audit management letters</w:t>
      </w:r>
    </w:p>
    <w:p w:rsidR="009B30E0" w:rsidRPr="00B476EB" w:rsidRDefault="009B30E0" w:rsidP="009B30E0">
      <w:pPr>
        <w:pStyle w:val="ListParagraph"/>
        <w:numPr>
          <w:ilvl w:val="0"/>
          <w:numId w:val="24"/>
        </w:numPr>
        <w:autoSpaceDE w:val="0"/>
        <w:autoSpaceDN w:val="0"/>
        <w:adjustRightInd w:val="0"/>
        <w:jc w:val="both"/>
        <w:rPr>
          <w:rFonts w:ascii="Arial" w:hAnsi="Arial" w:cs="Arial"/>
        </w:rPr>
      </w:pPr>
      <w:r>
        <w:rPr>
          <w:rFonts w:ascii="Arial" w:hAnsi="Arial" w:cs="Arial"/>
        </w:rPr>
        <w:t>Prior Internal Audit reports and related management monitoring reports</w:t>
      </w:r>
    </w:p>
    <w:p w:rsidR="009B30E0" w:rsidRDefault="009B30E0" w:rsidP="009B30E0">
      <w:pPr>
        <w:pStyle w:val="ListParagraph"/>
        <w:numPr>
          <w:ilvl w:val="0"/>
          <w:numId w:val="24"/>
        </w:numPr>
        <w:autoSpaceDE w:val="0"/>
        <w:autoSpaceDN w:val="0"/>
        <w:adjustRightInd w:val="0"/>
        <w:jc w:val="both"/>
        <w:rPr>
          <w:rFonts w:ascii="Arial" w:hAnsi="Arial" w:cs="Arial"/>
        </w:rPr>
      </w:pPr>
      <w:r>
        <w:rPr>
          <w:rFonts w:ascii="Arial" w:hAnsi="Arial" w:cs="Arial"/>
        </w:rPr>
        <w:t>Where applicable, the internal audit plan</w:t>
      </w:r>
    </w:p>
    <w:p w:rsidR="009B30E0" w:rsidRDefault="009B30E0" w:rsidP="009B30E0">
      <w:pPr>
        <w:pStyle w:val="ListParagraph"/>
        <w:numPr>
          <w:ilvl w:val="0"/>
          <w:numId w:val="24"/>
        </w:numPr>
        <w:autoSpaceDE w:val="0"/>
        <w:autoSpaceDN w:val="0"/>
        <w:adjustRightInd w:val="0"/>
        <w:jc w:val="both"/>
        <w:rPr>
          <w:rFonts w:ascii="Arial" w:hAnsi="Arial" w:cs="Arial"/>
        </w:rPr>
      </w:pPr>
      <w:r>
        <w:rPr>
          <w:rFonts w:ascii="Arial" w:hAnsi="Arial" w:cs="Arial"/>
        </w:rPr>
        <w:t>Where applicable, the PR risk matrix</w:t>
      </w:r>
    </w:p>
    <w:p w:rsidR="009B30E0" w:rsidRDefault="009B30E0" w:rsidP="009B30E0">
      <w:pPr>
        <w:autoSpaceDE w:val="0"/>
        <w:autoSpaceDN w:val="0"/>
        <w:adjustRightInd w:val="0"/>
        <w:jc w:val="both"/>
        <w:rPr>
          <w:rFonts w:ascii="Arial" w:hAnsi="Arial" w:cs="Arial"/>
        </w:rPr>
      </w:pPr>
    </w:p>
    <w:p w:rsidR="009B30E0" w:rsidRDefault="009B30E0" w:rsidP="009B30E0">
      <w:pPr>
        <w:pStyle w:val="ListParagraph"/>
        <w:numPr>
          <w:ilvl w:val="0"/>
          <w:numId w:val="23"/>
        </w:numPr>
        <w:spacing w:after="160" w:line="259" w:lineRule="auto"/>
        <w:jc w:val="both"/>
        <w:rPr>
          <w:rFonts w:ascii="Arial" w:hAnsi="Arial" w:cs="Arial"/>
        </w:rPr>
      </w:pPr>
      <w:r>
        <w:rPr>
          <w:rFonts w:ascii="Arial" w:hAnsi="Arial" w:cs="Arial"/>
        </w:rPr>
        <w:t xml:space="preserve">The assessment of independence and effectiveness of the implementer’s Internal Audit Function should be performed </w:t>
      </w:r>
      <w:r w:rsidR="00110FA9">
        <w:rPr>
          <w:color w:val="000000"/>
          <w:szCs w:val="22"/>
          <w:shd w:val="clear" w:color="auto" w:fill="FFFFFF"/>
        </w:rPr>
        <w:t>using the questionnaire embedded here:</w:t>
      </w:r>
    </w:p>
    <w:bookmarkStart w:id="3" w:name="_MON_1641993443"/>
    <w:bookmarkEnd w:id="3"/>
    <w:p w:rsidR="000417CF" w:rsidRPr="000417CF" w:rsidRDefault="000618C2" w:rsidP="000417CF">
      <w:pPr>
        <w:spacing w:after="160" w:line="259" w:lineRule="auto"/>
        <w:jc w:val="both"/>
        <w:rPr>
          <w:rFonts w:ascii="Arial" w:hAnsi="Arial" w:cs="Arial"/>
        </w:rPr>
      </w:pPr>
      <w:r>
        <w:rPr>
          <w:rFonts w:ascii="Arial" w:hAnsi="Arial" w:cs="Arial"/>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pt;height:59pt" o:ole="">
            <v:imagedata r:id="rId17" o:title=""/>
          </v:shape>
          <o:OLEObject Type="Embed" ProgID="Excel.Sheet.12" ShapeID="_x0000_i1027" DrawAspect="Icon" ObjectID="_1642484895" r:id="rId18"/>
        </w:object>
      </w:r>
    </w:p>
    <w:p w:rsidR="003B6B68" w:rsidRPr="003F7284" w:rsidRDefault="003B6B68" w:rsidP="003B6B68">
      <w:pPr>
        <w:pStyle w:val="NoSpacing"/>
        <w:ind w:left="720"/>
        <w:jc w:val="both"/>
        <w:rPr>
          <w:rFonts w:ascii="Georgia" w:hAnsi="Georgia"/>
        </w:rPr>
      </w:pPr>
    </w:p>
    <w:p w:rsidR="003B6B68" w:rsidRPr="003F7284" w:rsidRDefault="003B6B68" w:rsidP="003B6B68">
      <w:pPr>
        <w:pStyle w:val="NoSpacing"/>
        <w:jc w:val="both"/>
        <w:rPr>
          <w:rFonts w:ascii="Georgia" w:hAnsi="Georgia"/>
          <w:b/>
        </w:rPr>
      </w:pPr>
      <w:r w:rsidRPr="003F7284">
        <w:rPr>
          <w:rFonts w:ascii="Georgia" w:hAnsi="Georgia"/>
          <w:b/>
        </w:rPr>
        <w:t xml:space="preserve">Report and </w:t>
      </w:r>
      <w:r w:rsidR="009B30E0">
        <w:rPr>
          <w:rFonts w:ascii="Georgia" w:hAnsi="Georgia"/>
          <w:b/>
        </w:rPr>
        <w:t>timelines</w:t>
      </w:r>
    </w:p>
    <w:p w:rsidR="003B6B68" w:rsidRDefault="003B6B68" w:rsidP="003B6B68">
      <w:pPr>
        <w:pStyle w:val="NoSpacing"/>
        <w:jc w:val="both"/>
        <w:rPr>
          <w:rFonts w:ascii="Georgia" w:hAnsi="Georgia"/>
        </w:rPr>
      </w:pPr>
    </w:p>
    <w:p w:rsidR="009B30E0" w:rsidRDefault="009B30E0" w:rsidP="009B30E0">
      <w:pPr>
        <w:pStyle w:val="ListParagraph"/>
        <w:numPr>
          <w:ilvl w:val="0"/>
          <w:numId w:val="23"/>
        </w:numPr>
        <w:spacing w:after="160" w:line="259" w:lineRule="auto"/>
        <w:jc w:val="both"/>
        <w:rPr>
          <w:rFonts w:ascii="Arial" w:hAnsi="Arial" w:cs="Arial"/>
        </w:rPr>
      </w:pPr>
      <w:r w:rsidRPr="00046507">
        <w:rPr>
          <w:rFonts w:ascii="Arial" w:hAnsi="Arial" w:cs="Arial"/>
        </w:rPr>
        <w:t xml:space="preserve">The design and content of the report </w:t>
      </w:r>
      <w:r>
        <w:rPr>
          <w:rFonts w:ascii="Arial" w:hAnsi="Arial" w:cs="Arial"/>
        </w:rPr>
        <w:t>should</w:t>
      </w:r>
      <w:r w:rsidRPr="00046507">
        <w:rPr>
          <w:rFonts w:ascii="Arial" w:hAnsi="Arial" w:cs="Arial"/>
        </w:rPr>
        <w:t xml:space="preserve"> be agreed </w:t>
      </w:r>
      <w:r>
        <w:rPr>
          <w:rFonts w:ascii="Arial" w:hAnsi="Arial" w:cs="Arial"/>
        </w:rPr>
        <w:t>between the Global Fund Country Team and</w:t>
      </w:r>
      <w:r w:rsidRPr="00046507">
        <w:rPr>
          <w:rFonts w:ascii="Arial" w:hAnsi="Arial" w:cs="Arial"/>
        </w:rPr>
        <w:t xml:space="preserve"> the LFA during the planning of the engagement. The report should be completed </w:t>
      </w:r>
      <w:r>
        <w:rPr>
          <w:rFonts w:ascii="Arial" w:hAnsi="Arial" w:cs="Arial"/>
        </w:rPr>
        <w:t>within 10 working days</w:t>
      </w:r>
      <w:r w:rsidRPr="00046507">
        <w:rPr>
          <w:rFonts w:ascii="Arial" w:hAnsi="Arial" w:cs="Arial"/>
        </w:rPr>
        <w:t xml:space="preserve"> after the completion of the field work</w:t>
      </w:r>
      <w:r>
        <w:rPr>
          <w:rFonts w:ascii="Arial" w:hAnsi="Arial" w:cs="Arial"/>
        </w:rPr>
        <w:t xml:space="preserve"> unless otherwise agreed with the Global Fund Country Team. The indicative LOE for this assignment is from 5 to 10 days and should in any case be agreed with the Country Team.</w:t>
      </w:r>
    </w:p>
    <w:p w:rsidR="009B30E0" w:rsidRDefault="009B30E0" w:rsidP="009B30E0">
      <w:pPr>
        <w:pStyle w:val="ListParagraph"/>
        <w:ind w:left="360"/>
        <w:jc w:val="both"/>
        <w:rPr>
          <w:rFonts w:ascii="Arial" w:hAnsi="Arial" w:cs="Arial"/>
        </w:rPr>
      </w:pPr>
    </w:p>
    <w:p w:rsidR="009B30E0" w:rsidRDefault="009B30E0" w:rsidP="009B30E0">
      <w:pPr>
        <w:pStyle w:val="ListParagraph"/>
        <w:numPr>
          <w:ilvl w:val="0"/>
          <w:numId w:val="23"/>
        </w:numPr>
        <w:spacing w:after="160" w:line="259" w:lineRule="auto"/>
        <w:jc w:val="both"/>
        <w:rPr>
          <w:rFonts w:ascii="Arial" w:hAnsi="Arial" w:cs="Arial"/>
        </w:rPr>
      </w:pPr>
      <w:r>
        <w:rPr>
          <w:rFonts w:ascii="Arial" w:hAnsi="Arial" w:cs="Arial"/>
        </w:rPr>
        <w:t>LFA report should include recommendations to the Country Team using the below grading system and provide conclusion on whether LFA believes the internal audit function is effective. Recommendations should Specific, Measurable, Acceptable, Realistic and Time-bound.</w:t>
      </w:r>
    </w:p>
    <w:p w:rsidR="009B30E0" w:rsidRPr="005900FE" w:rsidRDefault="009B30E0" w:rsidP="009B30E0">
      <w:pPr>
        <w:jc w:val="both"/>
        <w:rPr>
          <w:rFonts w:ascii="Arial" w:hAnsi="Arial" w:cs="Arial"/>
        </w:rPr>
      </w:pPr>
    </w:p>
    <w:p w:rsidR="009B30E0" w:rsidRPr="00C32E73" w:rsidRDefault="009B30E0" w:rsidP="009B30E0">
      <w:pPr>
        <w:pStyle w:val="ListParagraph"/>
        <w:numPr>
          <w:ilvl w:val="0"/>
          <w:numId w:val="23"/>
        </w:numPr>
        <w:spacing w:after="160" w:line="259" w:lineRule="auto"/>
        <w:jc w:val="both"/>
        <w:rPr>
          <w:rFonts w:ascii="Arial" w:eastAsia="MS Mincho" w:hAnsi="Arial" w:cs="Arial"/>
          <w:iCs/>
          <w:noProof/>
        </w:rPr>
      </w:pPr>
      <w:r w:rsidRPr="00C32E73">
        <w:rPr>
          <w:rFonts w:ascii="Arial" w:eastAsia="MS Mincho" w:hAnsi="Arial" w:cs="Arial"/>
          <w:iCs/>
          <w:noProof/>
        </w:rPr>
        <w:t>The following system of grading is recommended:</w:t>
      </w:r>
    </w:p>
    <w:p w:rsidR="009B30E0" w:rsidRPr="00047B07" w:rsidRDefault="009B30E0" w:rsidP="009B30E0">
      <w:pPr>
        <w:pStyle w:val="ListParagraph"/>
        <w:numPr>
          <w:ilvl w:val="0"/>
          <w:numId w:val="25"/>
        </w:numPr>
        <w:tabs>
          <w:tab w:val="left" w:pos="3660"/>
        </w:tabs>
        <w:jc w:val="both"/>
        <w:rPr>
          <w:rFonts w:ascii="Arial" w:eastAsia="MS Mincho" w:hAnsi="Arial" w:cs="Arial"/>
          <w:iCs/>
          <w:noProof/>
        </w:rPr>
      </w:pPr>
      <w:r w:rsidRPr="00047B07">
        <w:rPr>
          <w:rFonts w:ascii="Arial" w:eastAsia="MS Mincho" w:hAnsi="Arial" w:cs="Arial"/>
          <w:b/>
          <w:bCs/>
          <w:iCs/>
          <w:noProof/>
        </w:rPr>
        <w:t>Grade I findings are</w:t>
      </w:r>
      <w:r w:rsidRPr="00047B07">
        <w:rPr>
          <w:rFonts w:ascii="Arial" w:eastAsia="MS Mincho" w:hAnsi="Arial" w:cs="Arial"/>
          <w:iCs/>
          <w:noProof/>
        </w:rPr>
        <w:t xml:space="preserve"> those  which  are particularly critical and  the involvement of management may be required for their resolution. These are high-level issues which impact seriously on the achievement of overall grant goals</w:t>
      </w:r>
    </w:p>
    <w:p w:rsidR="009B30E0" w:rsidRPr="00C32E73" w:rsidRDefault="009B30E0" w:rsidP="009B30E0">
      <w:pPr>
        <w:tabs>
          <w:tab w:val="left" w:pos="3660"/>
        </w:tabs>
        <w:ind w:left="152"/>
        <w:jc w:val="both"/>
        <w:rPr>
          <w:rFonts w:ascii="Arial" w:eastAsia="MS Mincho" w:hAnsi="Arial" w:cs="Arial"/>
          <w:iCs/>
          <w:noProof/>
          <w:sz w:val="10"/>
          <w:szCs w:val="10"/>
        </w:rPr>
      </w:pPr>
    </w:p>
    <w:p w:rsidR="009B30E0" w:rsidRPr="00047B07" w:rsidRDefault="009B30E0" w:rsidP="009B30E0">
      <w:pPr>
        <w:pStyle w:val="ListParagraph"/>
        <w:numPr>
          <w:ilvl w:val="0"/>
          <w:numId w:val="25"/>
        </w:numPr>
        <w:tabs>
          <w:tab w:val="left" w:pos="3660"/>
        </w:tabs>
        <w:jc w:val="both"/>
        <w:rPr>
          <w:rFonts w:ascii="Arial" w:eastAsia="MS Mincho" w:hAnsi="Arial" w:cs="Arial"/>
          <w:iCs/>
          <w:noProof/>
        </w:rPr>
      </w:pPr>
      <w:r w:rsidRPr="00047B07">
        <w:rPr>
          <w:rFonts w:ascii="Arial" w:eastAsia="MS Mincho" w:hAnsi="Arial" w:cs="Arial"/>
          <w:b/>
          <w:bCs/>
          <w:iCs/>
          <w:noProof/>
        </w:rPr>
        <w:t xml:space="preserve">Grade II </w:t>
      </w:r>
      <w:r w:rsidRPr="00047B07">
        <w:rPr>
          <w:rFonts w:ascii="Arial" w:eastAsia="MS Mincho" w:hAnsi="Arial" w:cs="Arial"/>
          <w:b/>
          <w:iCs/>
          <w:noProof/>
        </w:rPr>
        <w:t>findings</w:t>
      </w:r>
      <w:r w:rsidRPr="00047B07">
        <w:rPr>
          <w:rFonts w:ascii="Arial" w:eastAsia="MS Mincho" w:hAnsi="Arial" w:cs="Arial"/>
          <w:iCs/>
          <w:noProof/>
        </w:rPr>
        <w:t xml:space="preserve"> are those that may have significant impact on the control environment. Here control environment looks at risk factors derived from </w:t>
      </w:r>
      <w:r w:rsidRPr="00047B07">
        <w:rPr>
          <w:rFonts w:ascii="Arial" w:eastAsia="MS Mincho" w:hAnsi="Arial" w:cs="Arial"/>
          <w:b/>
          <w:bCs/>
          <w:iCs/>
          <w:noProof/>
        </w:rPr>
        <w:t xml:space="preserve">management’s attitude to risk </w:t>
      </w:r>
      <w:r w:rsidRPr="00047B07">
        <w:rPr>
          <w:rFonts w:ascii="Arial" w:eastAsia="MS Mincho" w:hAnsi="Arial" w:cs="Arial"/>
          <w:iCs/>
          <w:noProof/>
        </w:rPr>
        <w:t>as regards operational activities within the PR/Sub-recipient organization.</w:t>
      </w:r>
    </w:p>
    <w:p w:rsidR="009B30E0" w:rsidRPr="00C32E73" w:rsidRDefault="009B30E0" w:rsidP="009B30E0">
      <w:pPr>
        <w:tabs>
          <w:tab w:val="left" w:pos="3660"/>
        </w:tabs>
        <w:ind w:left="152"/>
        <w:jc w:val="both"/>
        <w:rPr>
          <w:rFonts w:ascii="Arial" w:eastAsia="MS Mincho" w:hAnsi="Arial" w:cs="Arial"/>
          <w:iCs/>
          <w:noProof/>
          <w:sz w:val="10"/>
          <w:szCs w:val="10"/>
        </w:rPr>
      </w:pPr>
    </w:p>
    <w:p w:rsidR="009B30E0" w:rsidRPr="003F7284" w:rsidRDefault="009B30E0" w:rsidP="009B30E0">
      <w:pPr>
        <w:pStyle w:val="ListParagraph"/>
        <w:numPr>
          <w:ilvl w:val="0"/>
          <w:numId w:val="25"/>
        </w:numPr>
        <w:tabs>
          <w:tab w:val="left" w:pos="3660"/>
        </w:tabs>
        <w:jc w:val="both"/>
      </w:pPr>
      <w:r w:rsidRPr="001A009F">
        <w:rPr>
          <w:rFonts w:ascii="Arial" w:eastAsia="MS Mincho" w:hAnsi="Arial" w:cs="Arial"/>
          <w:b/>
          <w:bCs/>
          <w:iCs/>
          <w:noProof/>
        </w:rPr>
        <w:t xml:space="preserve">Grade III findings </w:t>
      </w:r>
      <w:r w:rsidRPr="001A009F">
        <w:rPr>
          <w:rFonts w:ascii="Arial" w:eastAsia="MS Mincho" w:hAnsi="Arial" w:cs="Arial"/>
          <w:bCs/>
          <w:iCs/>
          <w:noProof/>
        </w:rPr>
        <w:t>are those which are less significant than Grade I and II but nevertheless</w:t>
      </w:r>
    </w:p>
    <w:p w:rsidR="00AA1068" w:rsidRPr="003F7284" w:rsidRDefault="00AA1068" w:rsidP="005E2030">
      <w:pPr>
        <w:pStyle w:val="NoSpacing"/>
        <w:jc w:val="both"/>
        <w:rPr>
          <w:rFonts w:ascii="Georgia" w:hAnsi="Georgia"/>
          <w:b/>
          <w:sz w:val="22"/>
          <w:szCs w:val="22"/>
        </w:rPr>
      </w:pPr>
    </w:p>
    <w:p w:rsidR="003B6B68" w:rsidRPr="003F7284" w:rsidRDefault="003B6B68" w:rsidP="003B6B68">
      <w:pPr>
        <w:pStyle w:val="NoSpacing"/>
        <w:jc w:val="both"/>
        <w:rPr>
          <w:rFonts w:ascii="Georgia" w:hAnsi="Georgia"/>
          <w:sz w:val="22"/>
          <w:szCs w:val="22"/>
        </w:rPr>
      </w:pPr>
    </w:p>
    <w:p w:rsidR="003B6B68" w:rsidRPr="003F7284" w:rsidRDefault="003B6B68" w:rsidP="003B6B68">
      <w:pPr>
        <w:pStyle w:val="NoSpacing"/>
        <w:jc w:val="both"/>
        <w:rPr>
          <w:rFonts w:ascii="Georgia" w:hAnsi="Georgia"/>
          <w:sz w:val="22"/>
          <w:szCs w:val="22"/>
        </w:rPr>
        <w:sectPr w:rsidR="003B6B68" w:rsidRPr="003F7284" w:rsidSect="00A23D12">
          <w:headerReference w:type="default" r:id="rId19"/>
          <w:type w:val="continuous"/>
          <w:pgSz w:w="11900" w:h="16840"/>
          <w:pgMar w:top="1134" w:right="1134" w:bottom="1701" w:left="1134" w:header="851" w:footer="851" w:gutter="0"/>
          <w:cols w:space="720"/>
          <w:titlePg/>
          <w:docGrid w:linePitch="360"/>
        </w:sectPr>
      </w:pPr>
    </w:p>
    <w:p w:rsidR="001F45CF" w:rsidRPr="003F7284" w:rsidRDefault="001F45CF" w:rsidP="00095619">
      <w:pPr>
        <w:pStyle w:val="NoSpacing"/>
        <w:ind w:left="360"/>
        <w:jc w:val="both"/>
        <w:rPr>
          <w:rFonts w:ascii="Georgia" w:hAnsi="Georgia"/>
          <w:sz w:val="22"/>
          <w:szCs w:val="22"/>
        </w:rPr>
      </w:pPr>
    </w:p>
    <w:p w:rsidR="00095619" w:rsidRPr="003F7284" w:rsidRDefault="00095619" w:rsidP="00095619">
      <w:pPr>
        <w:pStyle w:val="NoSpacing"/>
        <w:ind w:left="360"/>
        <w:jc w:val="both"/>
        <w:rPr>
          <w:rFonts w:ascii="Georgia" w:hAnsi="Georgia"/>
          <w:sz w:val="22"/>
          <w:szCs w:val="22"/>
        </w:rPr>
      </w:pPr>
    </w:p>
    <w:p w:rsidR="003F7284" w:rsidRPr="003F7284" w:rsidRDefault="003F7284" w:rsidP="003F7284">
      <w:pPr>
        <w:pStyle w:val="NoSpacing"/>
        <w:jc w:val="both"/>
        <w:rPr>
          <w:rFonts w:ascii="Georgia" w:hAnsi="Georgia"/>
          <w:b/>
          <w:szCs w:val="22"/>
        </w:rPr>
      </w:pPr>
      <w:r w:rsidRPr="003F7284">
        <w:rPr>
          <w:rFonts w:ascii="Georgia" w:hAnsi="Georgia"/>
          <w:b/>
          <w:noProof/>
          <w:szCs w:val="22"/>
        </w:rPr>
        <w:t>ANNEX</w:t>
      </w:r>
      <w:r>
        <w:rPr>
          <w:rFonts w:ascii="Georgia" w:hAnsi="Georgia"/>
          <w:b/>
          <w:szCs w:val="22"/>
        </w:rPr>
        <w:t xml:space="preserve"> 1.</w:t>
      </w:r>
      <w:r w:rsidR="009B30E0">
        <w:rPr>
          <w:rFonts w:ascii="Georgia" w:hAnsi="Georgia"/>
          <w:b/>
          <w:szCs w:val="22"/>
        </w:rPr>
        <w:t xml:space="preserve"> ILLUSTRATIVE</w:t>
      </w:r>
      <w:r w:rsidRPr="003F7284">
        <w:rPr>
          <w:rFonts w:ascii="Georgia" w:hAnsi="Georgia"/>
          <w:b/>
          <w:szCs w:val="22"/>
        </w:rPr>
        <w:t xml:space="preserve"> REVIEW REPORT</w:t>
      </w:r>
    </w:p>
    <w:p w:rsidR="003F7284" w:rsidRPr="003F7284" w:rsidRDefault="003F7284" w:rsidP="003F7284">
      <w:pPr>
        <w:pStyle w:val="NoSpacing"/>
        <w:jc w:val="both"/>
        <w:rPr>
          <w:rFonts w:ascii="Georgia" w:hAnsi="Georgia"/>
          <w:szCs w:val="22"/>
        </w:rPr>
      </w:pPr>
    </w:p>
    <w:p w:rsidR="003F7284" w:rsidRPr="003F7284" w:rsidRDefault="003F7284" w:rsidP="003F7284">
      <w:pPr>
        <w:suppressAutoHyphens/>
        <w:jc w:val="both"/>
        <w:rPr>
          <w:kern w:val="1"/>
          <w:szCs w:val="22"/>
          <w:lang w:eastAsia="ar-SA"/>
        </w:rPr>
      </w:pPr>
    </w:p>
    <w:p w:rsidR="003F7284" w:rsidRPr="003F7284" w:rsidRDefault="003F7284" w:rsidP="003F7284">
      <w:pPr>
        <w:suppressAutoHyphens/>
        <w:jc w:val="both"/>
        <w:rPr>
          <w:b/>
          <w:kern w:val="1"/>
          <w:szCs w:val="22"/>
          <w:lang w:eastAsia="ar-SA"/>
        </w:rPr>
      </w:pPr>
      <w:r w:rsidRPr="003F7284">
        <w:rPr>
          <w:b/>
          <w:kern w:val="1"/>
          <w:szCs w:val="22"/>
          <w:lang w:eastAsia="ar-SA"/>
        </w:rPr>
        <w:t>1. Background</w:t>
      </w:r>
    </w:p>
    <w:p w:rsidR="003F7284" w:rsidRPr="003F7284" w:rsidRDefault="009B30E0" w:rsidP="003F7284">
      <w:pPr>
        <w:pStyle w:val="ListParagraph"/>
        <w:numPr>
          <w:ilvl w:val="0"/>
          <w:numId w:val="15"/>
        </w:numPr>
        <w:suppressAutoHyphens/>
        <w:jc w:val="both"/>
        <w:rPr>
          <w:kern w:val="1"/>
          <w:szCs w:val="22"/>
          <w:lang w:eastAsia="ar-SA"/>
        </w:rPr>
      </w:pPr>
      <w:r>
        <w:rPr>
          <w:kern w:val="1"/>
          <w:szCs w:val="22"/>
          <w:lang w:eastAsia="ar-SA"/>
        </w:rPr>
        <w:t>Overall objectives of the</w:t>
      </w:r>
      <w:r w:rsidR="003F7284" w:rsidRPr="003F7284">
        <w:rPr>
          <w:kern w:val="1"/>
          <w:szCs w:val="22"/>
          <w:lang w:eastAsia="ar-SA"/>
        </w:rPr>
        <w:t xml:space="preserve"> review as per approved TOR</w:t>
      </w:r>
    </w:p>
    <w:p w:rsidR="003F7284" w:rsidRPr="003F7284" w:rsidRDefault="003F7284" w:rsidP="003F7284">
      <w:pPr>
        <w:pStyle w:val="ListParagraph"/>
        <w:numPr>
          <w:ilvl w:val="0"/>
          <w:numId w:val="15"/>
        </w:numPr>
        <w:suppressAutoHyphens/>
        <w:jc w:val="both"/>
        <w:rPr>
          <w:kern w:val="1"/>
          <w:szCs w:val="22"/>
          <w:lang w:eastAsia="ar-SA"/>
        </w:rPr>
      </w:pPr>
      <w:r w:rsidRPr="003F7284">
        <w:rPr>
          <w:kern w:val="1"/>
          <w:szCs w:val="22"/>
          <w:lang w:eastAsia="ar-SA"/>
        </w:rPr>
        <w:t>List of the reviewed implementers, geographic regions covered and other relevant background information:</w:t>
      </w:r>
    </w:p>
    <w:p w:rsidR="003F7284" w:rsidRPr="003F7284" w:rsidRDefault="003F7284" w:rsidP="003F7284">
      <w:pPr>
        <w:pStyle w:val="ListParagraph"/>
        <w:suppressAutoHyphens/>
        <w:jc w:val="both"/>
        <w:rPr>
          <w:kern w:val="1"/>
          <w:szCs w:val="22"/>
          <w:lang w:eastAsia="ar-SA"/>
        </w:rPr>
      </w:pPr>
      <w:r w:rsidRPr="003F7284">
        <w:rPr>
          <w:kern w:val="1"/>
          <w:szCs w:val="22"/>
          <w:lang w:eastAsia="ar-SA"/>
        </w:rPr>
        <w:t xml:space="preserve"> </w:t>
      </w:r>
    </w:p>
    <w:tbl>
      <w:tblPr>
        <w:tblW w:w="52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5056"/>
        <w:gridCol w:w="2606"/>
        <w:gridCol w:w="4900"/>
      </w:tblGrid>
      <w:tr w:rsidR="003F7284" w:rsidRPr="003F7284" w:rsidTr="00306C8F">
        <w:trPr>
          <w:trHeight w:val="305"/>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Grant:</w:t>
            </w:r>
          </w:p>
        </w:tc>
        <w:tc>
          <w:tcPr>
            <w:tcW w:w="1719"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Standard name of the grant(s) concerned</w:t>
            </w:r>
          </w:p>
        </w:tc>
        <w:tc>
          <w:tcPr>
            <w:tcW w:w="886"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Principal Recipient:</w:t>
            </w:r>
          </w:p>
        </w:tc>
        <w:tc>
          <w:tcPr>
            <w:tcW w:w="1666" w:type="pct"/>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The name of the PR reviewed</w:t>
            </w:r>
          </w:p>
        </w:tc>
      </w:tr>
      <w:tr w:rsidR="003F7284" w:rsidRPr="003F7284" w:rsidTr="00306C8F">
        <w:trPr>
          <w:trHeight w:val="305"/>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Implementers:</w:t>
            </w:r>
          </w:p>
        </w:tc>
        <w:tc>
          <w:tcPr>
            <w:tcW w:w="4271" w:type="pct"/>
            <w:gridSpan w:val="3"/>
            <w:shd w:val="clear" w:color="auto" w:fill="auto"/>
            <w:vAlign w:val="center"/>
          </w:tcPr>
          <w:p w:rsidR="003F7284" w:rsidRPr="003F7284" w:rsidRDefault="003F7284" w:rsidP="00306C8F">
            <w:pPr>
              <w:pStyle w:val="NoSpacing"/>
              <w:jc w:val="both"/>
              <w:rPr>
                <w:rFonts w:ascii="Georgia" w:hAnsi="Georgia"/>
                <w:b/>
                <w:i/>
                <w:sz w:val="20"/>
              </w:rPr>
            </w:pPr>
            <w:r w:rsidRPr="003F7284">
              <w:rPr>
                <w:rFonts w:ascii="Georgia" w:hAnsi="Georgia"/>
                <w:i/>
                <w:sz w:val="20"/>
              </w:rPr>
              <w:t>The names of the implementers reviewed</w:t>
            </w:r>
          </w:p>
        </w:tc>
      </w:tr>
      <w:tr w:rsidR="003F7284" w:rsidRPr="003F7284" w:rsidTr="00306C8F">
        <w:trPr>
          <w:trHeight w:val="663"/>
        </w:trPr>
        <w:tc>
          <w:tcPr>
            <w:tcW w:w="729"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b/>
                <w:sz w:val="20"/>
              </w:rPr>
              <w:t>Trigger(s):</w:t>
            </w:r>
          </w:p>
        </w:tc>
        <w:tc>
          <w:tcPr>
            <w:tcW w:w="4271" w:type="pct"/>
            <w:gridSpan w:val="3"/>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Reason(s) for selecting this </w:t>
            </w:r>
            <w:proofErr w:type="gramStart"/>
            <w:r w:rsidRPr="003F7284">
              <w:rPr>
                <w:rFonts w:ascii="Georgia" w:hAnsi="Georgia"/>
                <w:i/>
                <w:sz w:val="20"/>
              </w:rPr>
              <w:t>particular program</w:t>
            </w:r>
            <w:proofErr w:type="gramEnd"/>
            <w:r w:rsidRPr="003F7284">
              <w:rPr>
                <w:rFonts w:ascii="Georgia" w:hAnsi="Georgia"/>
                <w:i/>
                <w:sz w:val="20"/>
              </w:rPr>
              <w:t xml:space="preserve">, implementer, intervention or activity, as well as specific areas </w:t>
            </w:r>
            <w:r w:rsidRPr="003F7284">
              <w:rPr>
                <w:rFonts w:ascii="Georgia" w:hAnsi="Georgia"/>
                <w:i/>
                <w:noProof/>
                <w:sz w:val="20"/>
              </w:rPr>
              <w:t>LFA</w:t>
            </w:r>
            <w:r w:rsidRPr="003F7284">
              <w:rPr>
                <w:rFonts w:ascii="Georgia" w:hAnsi="Georgia"/>
                <w:i/>
                <w:sz w:val="20"/>
              </w:rPr>
              <w:t xml:space="preserve"> focused on their review (if any)</w:t>
            </w:r>
          </w:p>
        </w:tc>
      </w:tr>
      <w:tr w:rsidR="003F7284" w:rsidRPr="003F7284" w:rsidTr="00306C8F">
        <w:trPr>
          <w:trHeight w:val="626"/>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Type of review:</w:t>
            </w:r>
          </w:p>
        </w:tc>
        <w:tc>
          <w:tcPr>
            <w:tcW w:w="1719"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Whether the review was done ex-ante (pre-implementation) or ex-post (during the implementation).</w:t>
            </w:r>
          </w:p>
        </w:tc>
        <w:tc>
          <w:tcPr>
            <w:tcW w:w="886"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Locations visited:</w:t>
            </w:r>
          </w:p>
        </w:tc>
        <w:tc>
          <w:tcPr>
            <w:tcW w:w="1666"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Specific location(s) of the implementer that </w:t>
            </w:r>
            <w:r w:rsidRPr="003F7284">
              <w:rPr>
                <w:rFonts w:ascii="Georgia" w:hAnsi="Georgia"/>
                <w:i/>
                <w:noProof/>
                <w:sz w:val="20"/>
              </w:rPr>
              <w:t>were visited</w:t>
            </w:r>
            <w:r w:rsidRPr="003F7284">
              <w:rPr>
                <w:rFonts w:ascii="Georgia" w:hAnsi="Georgia"/>
                <w:i/>
                <w:sz w:val="20"/>
              </w:rPr>
              <w:t xml:space="preserve"> during the assessment</w:t>
            </w:r>
          </w:p>
        </w:tc>
      </w:tr>
      <w:tr w:rsidR="003F7284" w:rsidRPr="003F7284" w:rsidTr="00306C8F">
        <w:trPr>
          <w:trHeight w:val="626"/>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Geographic area covered by the review:</w:t>
            </w:r>
          </w:p>
        </w:tc>
        <w:tc>
          <w:tcPr>
            <w:tcW w:w="1719"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Specific geographic area covered by the reviewed program, implementer, intervention or activity</w:t>
            </w:r>
          </w:p>
        </w:tc>
        <w:tc>
          <w:tcPr>
            <w:tcW w:w="886"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Period covered by review:</w:t>
            </w:r>
          </w:p>
        </w:tc>
        <w:tc>
          <w:tcPr>
            <w:tcW w:w="1666"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Where relevant, specific </w:t>
            </w:r>
            <w:r w:rsidRPr="003F7284">
              <w:rPr>
                <w:rFonts w:ascii="Georgia" w:hAnsi="Georgia"/>
                <w:i/>
                <w:noProof/>
                <w:sz w:val="20"/>
              </w:rPr>
              <w:t>time period</w:t>
            </w:r>
            <w:r w:rsidRPr="003F7284">
              <w:rPr>
                <w:rFonts w:ascii="Georgia" w:hAnsi="Georgia"/>
                <w:i/>
                <w:sz w:val="20"/>
              </w:rPr>
              <w:t xml:space="preserve"> that was under the LFA scrutiny </w:t>
            </w:r>
          </w:p>
        </w:tc>
      </w:tr>
      <w:tr w:rsidR="003F7284" w:rsidRPr="003F7284" w:rsidTr="00306C8F">
        <w:trPr>
          <w:trHeight w:val="564"/>
        </w:trPr>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Assessed by:</w:t>
            </w:r>
          </w:p>
        </w:tc>
        <w:tc>
          <w:tcPr>
            <w:tcW w:w="1719"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Name of the LFA specialist(s) who undertook the assessment</w:t>
            </w:r>
          </w:p>
        </w:tc>
        <w:tc>
          <w:tcPr>
            <w:tcW w:w="886" w:type="pct"/>
            <w:vAlign w:val="center"/>
          </w:tcPr>
          <w:p w:rsidR="003F7284" w:rsidRPr="003F7284" w:rsidRDefault="003F7284" w:rsidP="00306C8F">
            <w:pPr>
              <w:pStyle w:val="NoSpacing"/>
              <w:jc w:val="both"/>
              <w:rPr>
                <w:rFonts w:ascii="Georgia" w:hAnsi="Georgia"/>
                <w:sz w:val="20"/>
              </w:rPr>
            </w:pPr>
            <w:r w:rsidRPr="003F7284">
              <w:rPr>
                <w:rFonts w:ascii="Georgia" w:hAnsi="Georgia"/>
                <w:b/>
                <w:sz w:val="20"/>
              </w:rPr>
              <w:t>Assessment date:</w:t>
            </w:r>
          </w:p>
        </w:tc>
        <w:tc>
          <w:tcPr>
            <w:tcW w:w="1666" w:type="pct"/>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Date(s) on which the spot-check of the implementer took place</w:t>
            </w:r>
          </w:p>
        </w:tc>
      </w:tr>
    </w:tbl>
    <w:p w:rsidR="003F7284" w:rsidRPr="003F7284" w:rsidRDefault="003F7284" w:rsidP="003F7284">
      <w:pPr>
        <w:suppressAutoHyphens/>
        <w:jc w:val="both"/>
        <w:rPr>
          <w:kern w:val="1"/>
          <w:szCs w:val="22"/>
          <w:lang w:eastAsia="ar-SA"/>
        </w:rPr>
      </w:pPr>
    </w:p>
    <w:p w:rsidR="003F7284" w:rsidRPr="003F7284" w:rsidRDefault="003F7284" w:rsidP="003F7284">
      <w:pPr>
        <w:suppressAutoHyphens/>
        <w:jc w:val="both"/>
        <w:rPr>
          <w:b/>
          <w:kern w:val="1"/>
          <w:szCs w:val="22"/>
          <w:lang w:eastAsia="ar-SA"/>
        </w:rPr>
      </w:pPr>
      <w:r w:rsidRPr="003F7284">
        <w:rPr>
          <w:b/>
          <w:kern w:val="1"/>
          <w:szCs w:val="22"/>
          <w:lang w:eastAsia="ar-SA"/>
        </w:rPr>
        <w:t>2. Methodology/approach</w:t>
      </w:r>
    </w:p>
    <w:p w:rsidR="003F7284" w:rsidRPr="003F7284" w:rsidRDefault="003F7284" w:rsidP="003F7284">
      <w:pPr>
        <w:suppressAutoHyphens/>
        <w:jc w:val="both"/>
        <w:rPr>
          <w:kern w:val="1"/>
          <w:szCs w:val="22"/>
          <w:lang w:eastAsia="ar-SA"/>
        </w:rPr>
      </w:pPr>
    </w:p>
    <w:p w:rsidR="003F7284" w:rsidRPr="003F7284" w:rsidRDefault="003F7284" w:rsidP="003F7284">
      <w:pPr>
        <w:suppressAutoHyphens/>
        <w:jc w:val="both"/>
        <w:rPr>
          <w:kern w:val="1"/>
          <w:szCs w:val="22"/>
          <w:lang w:eastAsia="ar-SA"/>
        </w:rPr>
      </w:pPr>
      <w:r w:rsidRPr="003F7284">
        <w:rPr>
          <w:noProof/>
          <w:kern w:val="1"/>
          <w:szCs w:val="22"/>
          <w:lang w:eastAsia="ar-SA"/>
        </w:rPr>
        <w:t>Considering the nature of this specific assignment, which is [</w:t>
      </w:r>
      <w:r w:rsidRPr="003F7284">
        <w:rPr>
          <w:i/>
          <w:noProof/>
          <w:kern w:val="1"/>
          <w:szCs w:val="22"/>
          <w:lang w:eastAsia="ar-SA"/>
        </w:rPr>
        <w:t>state goals, objectives and requirements of the specific assignment as stated in the TOR</w:t>
      </w:r>
      <w:r w:rsidRPr="003F7284">
        <w:rPr>
          <w:noProof/>
          <w:kern w:val="1"/>
          <w:szCs w:val="22"/>
          <w:lang w:eastAsia="ar-SA"/>
        </w:rPr>
        <w:t>], the LFA used the following methodology: [</w:t>
      </w:r>
      <w:r w:rsidRPr="003F7284">
        <w:rPr>
          <w:i/>
          <w:noProof/>
          <w:kern w:val="1"/>
          <w:szCs w:val="22"/>
          <w:lang w:eastAsia="ar-SA"/>
        </w:rPr>
        <w:t>describe specific aspects of the LFA approach/methodology not referred to in the TOR if any, e.g. basis for the selection of specific implementer’s site(s) to visit, sample size of expenditure subset(s), specific risks that the LFA paid additional attention to etc</w:t>
      </w:r>
      <w:r w:rsidRPr="003F7284">
        <w:rPr>
          <w:noProof/>
          <w:kern w:val="1"/>
          <w:szCs w:val="22"/>
          <w:lang w:eastAsia="ar-SA"/>
        </w:rPr>
        <w:t>.]</w:t>
      </w:r>
      <w:r w:rsidRPr="003F7284">
        <w:rPr>
          <w:kern w:val="1"/>
          <w:szCs w:val="22"/>
          <w:lang w:eastAsia="ar-SA"/>
        </w:rPr>
        <w:t xml:space="preserve"> </w:t>
      </w:r>
    </w:p>
    <w:p w:rsidR="003F7284" w:rsidRPr="003F7284" w:rsidRDefault="003F7284" w:rsidP="003F7284">
      <w:pPr>
        <w:shd w:val="clear" w:color="auto" w:fill="FFFFFF" w:themeFill="background1"/>
        <w:suppressAutoHyphens/>
        <w:jc w:val="both"/>
        <w:rPr>
          <w:b/>
          <w:color w:val="000000" w:themeColor="text1"/>
          <w:kern w:val="1"/>
          <w:szCs w:val="22"/>
          <w:lang w:eastAsia="ar-SA"/>
        </w:rPr>
      </w:pPr>
      <w:r w:rsidRPr="003F7284">
        <w:rPr>
          <w:b/>
          <w:color w:val="000000" w:themeColor="text1"/>
          <w:kern w:val="1"/>
          <w:szCs w:val="22"/>
          <w:lang w:eastAsia="ar-SA"/>
        </w:rPr>
        <w:t xml:space="preserve"> </w:t>
      </w:r>
    </w:p>
    <w:p w:rsidR="003F7284" w:rsidRPr="003F7284" w:rsidRDefault="003F7284" w:rsidP="003F7284">
      <w:pPr>
        <w:shd w:val="clear" w:color="auto" w:fill="FFFFFF" w:themeFill="background1"/>
        <w:suppressAutoHyphens/>
        <w:jc w:val="both"/>
        <w:rPr>
          <w:b/>
          <w:color w:val="000000" w:themeColor="text1"/>
          <w:kern w:val="1"/>
          <w:szCs w:val="22"/>
          <w:lang w:eastAsia="ar-SA"/>
        </w:rPr>
      </w:pPr>
      <w:r w:rsidRPr="003F7284">
        <w:rPr>
          <w:b/>
          <w:color w:val="000000" w:themeColor="text1"/>
          <w:kern w:val="1"/>
          <w:szCs w:val="22"/>
          <w:lang w:eastAsia="ar-SA"/>
        </w:rPr>
        <w:t>3. Findings and recommendations</w:t>
      </w:r>
    </w:p>
    <w:p w:rsidR="003F7284" w:rsidRPr="003F7284" w:rsidRDefault="003F7284" w:rsidP="003F7284">
      <w:pPr>
        <w:shd w:val="clear" w:color="auto" w:fill="FFFFFF" w:themeFill="background1"/>
        <w:suppressAutoHyphens/>
        <w:jc w:val="both"/>
        <w:rPr>
          <w:b/>
          <w:color w:val="000000" w:themeColor="text1"/>
          <w:kern w:val="1"/>
          <w:szCs w:val="22"/>
          <w:lang w:eastAsia="ar-SA"/>
        </w:rPr>
      </w:pPr>
    </w:p>
    <w:p w:rsidR="003F7284" w:rsidRPr="003F7284" w:rsidRDefault="003F7284" w:rsidP="003F7284">
      <w:pPr>
        <w:suppressAutoHyphens/>
        <w:jc w:val="both"/>
        <w:rPr>
          <w:kern w:val="1"/>
          <w:szCs w:val="22"/>
          <w:lang w:eastAsia="ar-SA"/>
        </w:rPr>
      </w:pPr>
      <w:r w:rsidRPr="003F7284">
        <w:rPr>
          <w:kern w:val="1"/>
          <w:szCs w:val="22"/>
          <w:lang w:eastAsia="ar-SA"/>
        </w:rPr>
        <w:t>Findings should be sufficiently elaborate and conclusive for the Global Fund to fully understand the root cause of the issue reported by the LFA and its implications on the implementation of the program (</w:t>
      </w:r>
      <w:r w:rsidRPr="003F7284">
        <w:rPr>
          <w:noProof/>
          <w:kern w:val="1"/>
          <w:szCs w:val="22"/>
          <w:lang w:eastAsia="ar-SA"/>
        </w:rPr>
        <w:t>with regard to</w:t>
      </w:r>
      <w:r w:rsidRPr="003F7284">
        <w:rPr>
          <w:kern w:val="1"/>
          <w:szCs w:val="22"/>
          <w:lang w:eastAsia="ar-SA"/>
        </w:rPr>
        <w:t xml:space="preserve"> both, its financial and non-financial aspects). Recommendations should be sufficiently detailed, </w:t>
      </w:r>
      <w:r w:rsidRPr="003F7284">
        <w:rPr>
          <w:noProof/>
          <w:kern w:val="1"/>
          <w:szCs w:val="22"/>
          <w:lang w:eastAsia="ar-SA"/>
        </w:rPr>
        <w:t>contextualized</w:t>
      </w:r>
      <w:r w:rsidRPr="003F7284">
        <w:rPr>
          <w:kern w:val="1"/>
          <w:szCs w:val="22"/>
          <w:lang w:eastAsia="ar-SA"/>
        </w:rPr>
        <w:t>, specific, actionable and realistically achievable by the implementer.</w:t>
      </w:r>
    </w:p>
    <w:p w:rsidR="003F7284" w:rsidRPr="003F7284" w:rsidRDefault="003F7284" w:rsidP="003F7284">
      <w:pPr>
        <w:suppressAutoHyphens/>
        <w:jc w:val="both"/>
        <w:rPr>
          <w:kern w:val="1"/>
          <w:szCs w:val="22"/>
          <w:lang w:eastAsia="ar-SA"/>
        </w:rPr>
      </w:pPr>
    </w:p>
    <w:p w:rsidR="003F7284" w:rsidRPr="003F7284" w:rsidRDefault="003F7284" w:rsidP="003F7284">
      <w:pPr>
        <w:suppressAutoHyphens/>
        <w:jc w:val="both"/>
        <w:rPr>
          <w:kern w:val="1"/>
          <w:szCs w:val="22"/>
          <w:lang w:eastAsia="ar-SA"/>
        </w:rPr>
      </w:pPr>
      <w:r w:rsidRPr="003F7284">
        <w:rPr>
          <w:kern w:val="1"/>
          <w:szCs w:val="22"/>
          <w:lang w:eastAsia="ar-SA"/>
        </w:rPr>
        <w:lastRenderedPageBreak/>
        <w:t xml:space="preserve">Finding should be classified </w:t>
      </w:r>
      <w:r w:rsidRPr="003F7284">
        <w:rPr>
          <w:noProof/>
          <w:kern w:val="1"/>
          <w:szCs w:val="22"/>
          <w:lang w:eastAsia="ar-SA"/>
        </w:rPr>
        <w:t>in accordance with</w:t>
      </w:r>
      <w:r w:rsidRPr="003F7284">
        <w:rPr>
          <w:kern w:val="1"/>
          <w:szCs w:val="22"/>
          <w:lang w:eastAsia="ar-SA"/>
        </w:rPr>
        <w:t xml:space="preserve"> the following system of grading:</w:t>
      </w:r>
    </w:p>
    <w:p w:rsidR="003F7284" w:rsidRPr="003F7284" w:rsidRDefault="003F7284" w:rsidP="003F7284">
      <w:pPr>
        <w:suppressAutoHyphens/>
        <w:jc w:val="both"/>
        <w:rPr>
          <w:kern w:val="1"/>
          <w:szCs w:val="22"/>
          <w:lang w:eastAsia="ar-SA"/>
        </w:rPr>
      </w:pPr>
    </w:p>
    <w:p w:rsidR="003F7284" w:rsidRPr="003F7284" w:rsidRDefault="003F7284" w:rsidP="003F7284">
      <w:pPr>
        <w:pStyle w:val="ListParagraph"/>
        <w:numPr>
          <w:ilvl w:val="0"/>
          <w:numId w:val="15"/>
        </w:numPr>
        <w:suppressAutoHyphens/>
        <w:jc w:val="both"/>
        <w:rPr>
          <w:kern w:val="1"/>
          <w:szCs w:val="22"/>
          <w:lang w:eastAsia="ar-SA"/>
        </w:rPr>
      </w:pPr>
      <w:r w:rsidRPr="003F7284">
        <w:rPr>
          <w:b/>
          <w:kern w:val="1"/>
          <w:szCs w:val="22"/>
          <w:lang w:eastAsia="ar-SA"/>
        </w:rPr>
        <w:t xml:space="preserve">Grade I </w:t>
      </w:r>
      <w:r w:rsidRPr="003F7284">
        <w:rPr>
          <w:kern w:val="1"/>
          <w:szCs w:val="22"/>
          <w:lang w:eastAsia="ar-SA"/>
        </w:rPr>
        <w:t xml:space="preserve">(high priority) findings are those </w:t>
      </w:r>
      <w:r w:rsidRPr="003F7284">
        <w:rPr>
          <w:noProof/>
          <w:kern w:val="1"/>
          <w:szCs w:val="22"/>
          <w:lang w:eastAsia="ar-SA"/>
        </w:rPr>
        <w:t>which</w:t>
      </w:r>
      <w:r w:rsidRPr="003F7284">
        <w:rPr>
          <w:kern w:val="1"/>
          <w:szCs w:val="22"/>
          <w:lang w:eastAsia="ar-SA"/>
        </w:rPr>
        <w:t xml:space="preserve"> are particularly </w:t>
      </w:r>
      <w:proofErr w:type="gramStart"/>
      <w:r w:rsidRPr="003F7284">
        <w:rPr>
          <w:kern w:val="1"/>
          <w:szCs w:val="22"/>
          <w:lang w:eastAsia="ar-SA"/>
        </w:rPr>
        <w:t>significant</w:t>
      </w:r>
      <w:proofErr w:type="gramEnd"/>
      <w:r w:rsidRPr="003F7284">
        <w:rPr>
          <w:kern w:val="1"/>
          <w:szCs w:val="22"/>
          <w:lang w:eastAsia="ar-SA"/>
        </w:rPr>
        <w:t xml:space="preserve"> </w:t>
      </w:r>
      <w:r w:rsidRPr="003F7284">
        <w:rPr>
          <w:noProof/>
          <w:kern w:val="1"/>
          <w:szCs w:val="22"/>
          <w:lang w:eastAsia="ar-SA"/>
        </w:rPr>
        <w:t>and</w:t>
      </w:r>
      <w:r w:rsidRPr="003F7284">
        <w:rPr>
          <w:kern w:val="1"/>
          <w:szCs w:val="22"/>
          <w:lang w:eastAsia="ar-SA"/>
        </w:rPr>
        <w:t xml:space="preserve"> the involvement of management may </w:t>
      </w:r>
      <w:r w:rsidRPr="003F7284">
        <w:rPr>
          <w:noProof/>
          <w:kern w:val="1"/>
          <w:szCs w:val="22"/>
          <w:lang w:eastAsia="ar-SA"/>
        </w:rPr>
        <w:t>be required</w:t>
      </w:r>
      <w:r w:rsidRPr="003F7284">
        <w:rPr>
          <w:kern w:val="1"/>
          <w:szCs w:val="22"/>
          <w:lang w:eastAsia="ar-SA"/>
        </w:rPr>
        <w:t xml:space="preserve"> for their resolution; these are </w:t>
      </w:r>
      <w:r w:rsidRPr="003F7284">
        <w:rPr>
          <w:noProof/>
          <w:kern w:val="1"/>
          <w:szCs w:val="22"/>
          <w:lang w:eastAsia="ar-SA"/>
        </w:rPr>
        <w:t>high level</w:t>
      </w:r>
      <w:r w:rsidRPr="003F7284">
        <w:rPr>
          <w:kern w:val="1"/>
          <w:szCs w:val="22"/>
          <w:lang w:eastAsia="ar-SA"/>
        </w:rPr>
        <w:t xml:space="preserve"> issues which impact seriously on the achievement of overall grant goals;</w:t>
      </w:r>
    </w:p>
    <w:p w:rsidR="003F7284" w:rsidRPr="003F7284" w:rsidRDefault="003F7284" w:rsidP="003F7284">
      <w:pPr>
        <w:pStyle w:val="ListParagraph"/>
        <w:numPr>
          <w:ilvl w:val="0"/>
          <w:numId w:val="15"/>
        </w:numPr>
        <w:suppressAutoHyphens/>
        <w:jc w:val="both"/>
        <w:rPr>
          <w:kern w:val="1"/>
          <w:szCs w:val="22"/>
          <w:lang w:eastAsia="ar-SA"/>
        </w:rPr>
      </w:pPr>
      <w:r w:rsidRPr="003F7284">
        <w:rPr>
          <w:b/>
          <w:kern w:val="1"/>
          <w:szCs w:val="22"/>
          <w:lang w:eastAsia="ar-SA"/>
        </w:rPr>
        <w:t>Grade II</w:t>
      </w:r>
      <w:r w:rsidRPr="003F7284">
        <w:rPr>
          <w:kern w:val="1"/>
          <w:szCs w:val="22"/>
          <w:lang w:eastAsia="ar-SA"/>
        </w:rPr>
        <w:t xml:space="preserve"> (medium priority) – those that may have </w:t>
      </w:r>
      <w:r w:rsidRPr="003F7284">
        <w:rPr>
          <w:noProof/>
          <w:kern w:val="1"/>
          <w:szCs w:val="22"/>
          <w:lang w:eastAsia="ar-SA"/>
        </w:rPr>
        <w:t>significant</w:t>
      </w:r>
      <w:r w:rsidRPr="003F7284">
        <w:rPr>
          <w:kern w:val="1"/>
          <w:szCs w:val="22"/>
          <w:lang w:eastAsia="ar-SA"/>
        </w:rPr>
        <w:t xml:space="preserve"> impact on the control environment, i.e. risk factors derived from management’s attitude to risk </w:t>
      </w:r>
      <w:proofErr w:type="gramStart"/>
      <w:r w:rsidRPr="003F7284">
        <w:rPr>
          <w:kern w:val="1"/>
          <w:szCs w:val="22"/>
          <w:lang w:eastAsia="ar-SA"/>
        </w:rPr>
        <w:t>as regards</w:t>
      </w:r>
      <w:proofErr w:type="gramEnd"/>
      <w:r w:rsidRPr="003F7284">
        <w:rPr>
          <w:kern w:val="1"/>
          <w:szCs w:val="22"/>
          <w:lang w:eastAsia="ar-SA"/>
        </w:rPr>
        <w:t xml:space="preserve"> operational activities within the implementer </w:t>
      </w:r>
      <w:r w:rsidRPr="003F7284">
        <w:rPr>
          <w:noProof/>
          <w:kern w:val="1"/>
          <w:szCs w:val="22"/>
          <w:lang w:eastAsia="ar-SA"/>
        </w:rPr>
        <w:t>organization</w:t>
      </w:r>
      <w:r w:rsidRPr="003F7284">
        <w:rPr>
          <w:kern w:val="1"/>
          <w:szCs w:val="22"/>
          <w:lang w:eastAsia="ar-SA"/>
        </w:rPr>
        <w:t>; and</w:t>
      </w:r>
    </w:p>
    <w:p w:rsidR="003F7284" w:rsidRPr="003F7284" w:rsidRDefault="003F7284" w:rsidP="003F7284">
      <w:pPr>
        <w:pStyle w:val="ListParagraph"/>
        <w:numPr>
          <w:ilvl w:val="0"/>
          <w:numId w:val="15"/>
        </w:numPr>
        <w:suppressAutoHyphens/>
        <w:jc w:val="both"/>
        <w:rPr>
          <w:kern w:val="1"/>
          <w:szCs w:val="22"/>
          <w:lang w:eastAsia="ar-SA"/>
        </w:rPr>
      </w:pPr>
      <w:r w:rsidRPr="003F7284">
        <w:rPr>
          <w:b/>
          <w:color w:val="000000" w:themeColor="text1"/>
          <w:kern w:val="1"/>
          <w:szCs w:val="22"/>
          <w:lang w:eastAsia="ar-SA"/>
        </w:rPr>
        <w:t>Grade III</w:t>
      </w:r>
      <w:r w:rsidRPr="003F7284">
        <w:rPr>
          <w:color w:val="000000" w:themeColor="text1"/>
          <w:kern w:val="1"/>
          <w:szCs w:val="22"/>
          <w:lang w:eastAsia="ar-SA"/>
        </w:rPr>
        <w:t xml:space="preserve"> (low priority) – those that are less significant than Grade I and II </w:t>
      </w:r>
      <w:r w:rsidRPr="003F7284">
        <w:rPr>
          <w:noProof/>
          <w:color w:val="000000" w:themeColor="text1"/>
          <w:kern w:val="1"/>
          <w:szCs w:val="22"/>
          <w:lang w:eastAsia="ar-SA"/>
        </w:rPr>
        <w:t>but nevertheless</w:t>
      </w:r>
      <w:r w:rsidRPr="003F7284">
        <w:rPr>
          <w:color w:val="000000" w:themeColor="text1"/>
          <w:kern w:val="1"/>
          <w:szCs w:val="22"/>
          <w:lang w:eastAsia="ar-SA"/>
        </w:rPr>
        <w:t xml:space="preserve"> merit attention and resolution.</w:t>
      </w:r>
    </w:p>
    <w:p w:rsidR="003F7284" w:rsidRPr="003F7284" w:rsidRDefault="003F7284" w:rsidP="003F7284">
      <w:pPr>
        <w:shd w:val="clear" w:color="auto" w:fill="FFFFFF" w:themeFill="background1"/>
        <w:suppressAutoHyphens/>
        <w:jc w:val="both"/>
        <w:rPr>
          <w:color w:val="000000" w:themeColor="text1"/>
          <w:kern w:val="1"/>
          <w:szCs w:val="22"/>
          <w:lang w:eastAsia="ar-SA"/>
        </w:rPr>
      </w:pPr>
    </w:p>
    <w:tbl>
      <w:tblPr>
        <w:tblW w:w="526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
        <w:gridCol w:w="3375"/>
        <w:gridCol w:w="1838"/>
        <w:gridCol w:w="3369"/>
        <w:gridCol w:w="1841"/>
        <w:gridCol w:w="4000"/>
      </w:tblGrid>
      <w:tr w:rsidR="003F7284" w:rsidRPr="003F7284" w:rsidTr="00306C8F">
        <w:trPr>
          <w:trHeight w:val="305"/>
        </w:trPr>
        <w:tc>
          <w:tcPr>
            <w:tcW w:w="103"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1146"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Findings</w:t>
            </w:r>
          </w:p>
        </w:tc>
        <w:tc>
          <w:tcPr>
            <w:tcW w:w="624"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Implications</w:t>
            </w:r>
          </w:p>
        </w:tc>
        <w:tc>
          <w:tcPr>
            <w:tcW w:w="1144"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LFA Recommendations</w:t>
            </w:r>
          </w:p>
        </w:tc>
        <w:tc>
          <w:tcPr>
            <w:tcW w:w="625"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Benefits</w:t>
            </w:r>
          </w:p>
        </w:tc>
        <w:tc>
          <w:tcPr>
            <w:tcW w:w="1358" w:type="pct"/>
            <w:vAlign w:val="center"/>
          </w:tcPr>
          <w:p w:rsidR="003F7284" w:rsidRPr="003F7284" w:rsidRDefault="003F7284" w:rsidP="00306C8F">
            <w:pPr>
              <w:pStyle w:val="NoSpacing"/>
              <w:jc w:val="both"/>
              <w:rPr>
                <w:rFonts w:ascii="Georgia" w:hAnsi="Georgia"/>
                <w:b/>
                <w:sz w:val="20"/>
              </w:rPr>
            </w:pPr>
            <w:proofErr w:type="gramStart"/>
            <w:r w:rsidRPr="003F7284">
              <w:rPr>
                <w:rFonts w:ascii="Georgia" w:hAnsi="Georgia"/>
                <w:b/>
                <w:sz w:val="20"/>
              </w:rPr>
              <w:t>Management’s  Comments</w:t>
            </w:r>
            <w:proofErr w:type="gramEnd"/>
            <w:r w:rsidRPr="003F7284">
              <w:rPr>
                <w:rFonts w:ascii="Georgia" w:hAnsi="Georgia"/>
                <w:b/>
                <w:sz w:val="20"/>
              </w:rPr>
              <w:t xml:space="preserve"> (if any)</w:t>
            </w:r>
          </w:p>
        </w:tc>
      </w:tr>
      <w:tr w:rsidR="003F7284" w:rsidRPr="003F7284" w:rsidTr="00306C8F">
        <w:trPr>
          <w:trHeight w:val="50"/>
        </w:trPr>
        <w:tc>
          <w:tcPr>
            <w:tcW w:w="5000" w:type="pct"/>
            <w:gridSpan w:val="6"/>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HIGH PRIORITY (GRADE I)</w:t>
            </w: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1</w:t>
            </w:r>
          </w:p>
        </w:tc>
        <w:tc>
          <w:tcPr>
            <w:tcW w:w="1146"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The condition or </w:t>
            </w:r>
            <w:r w:rsidRPr="003F7284">
              <w:rPr>
                <w:rFonts w:ascii="Georgia" w:hAnsi="Georgia"/>
                <w:i/>
                <w:noProof/>
                <w:sz w:val="20"/>
              </w:rPr>
              <w:t>issue</w:t>
            </w:r>
            <w:r w:rsidRPr="003F7284">
              <w:rPr>
                <w:rFonts w:ascii="Georgia" w:hAnsi="Georgia"/>
                <w:i/>
                <w:sz w:val="20"/>
              </w:rPr>
              <w:t xml:space="preserve"> presently resulting from non-compliance with the assessment criteria. Where possible, the reason(s) </w:t>
            </w:r>
            <w:r w:rsidRPr="003F7284">
              <w:rPr>
                <w:rFonts w:ascii="Georgia" w:hAnsi="Georgia"/>
                <w:i/>
                <w:noProof/>
                <w:sz w:val="20"/>
              </w:rPr>
              <w:t>and/or</w:t>
            </w:r>
            <w:r w:rsidRPr="003F7284">
              <w:rPr>
                <w:rFonts w:ascii="Georgia" w:hAnsi="Georgia"/>
                <w:i/>
                <w:sz w:val="20"/>
              </w:rPr>
              <w:t xml:space="preserve"> the rationale for the identified non-compliance to the criteria or factors contributing to the finding should </w:t>
            </w:r>
            <w:r w:rsidRPr="003F7284">
              <w:rPr>
                <w:rFonts w:ascii="Georgia" w:hAnsi="Georgia"/>
                <w:i/>
                <w:noProof/>
                <w:sz w:val="20"/>
              </w:rPr>
              <w:t>be also</w:t>
            </w:r>
            <w:r w:rsidRPr="003F7284">
              <w:rPr>
                <w:rFonts w:ascii="Georgia" w:hAnsi="Georgia"/>
                <w:i/>
                <w:sz w:val="20"/>
              </w:rPr>
              <w:t xml:space="preserve"> stated.</w:t>
            </w:r>
          </w:p>
        </w:tc>
        <w:tc>
          <w:tcPr>
            <w:tcW w:w="624"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noProof/>
                <w:sz w:val="20"/>
              </w:rPr>
              <w:t>The effect of the finding on the implementation of the program from both, the financial and non-financial perspectives.</w:t>
            </w:r>
          </w:p>
        </w:tc>
        <w:tc>
          <w:tcPr>
            <w:tcW w:w="1144" w:type="pct"/>
            <w:shd w:val="clear" w:color="auto" w:fill="auto"/>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Practical and specific recommendations relevant to the finding; these should </w:t>
            </w:r>
            <w:r w:rsidRPr="003F7284">
              <w:rPr>
                <w:rFonts w:ascii="Georgia" w:hAnsi="Georgia"/>
                <w:i/>
                <w:noProof/>
                <w:sz w:val="20"/>
              </w:rPr>
              <w:t>be aimed</w:t>
            </w:r>
            <w:r w:rsidRPr="003F7284">
              <w:rPr>
                <w:rFonts w:ascii="Georgia" w:hAnsi="Georgia"/>
                <w:i/>
                <w:sz w:val="20"/>
              </w:rPr>
              <w:t xml:space="preserve"> at eliminating or reducing to an acceptable level the stated implications of the finding to such an extent that there is no negative material impact on program implementation.</w:t>
            </w:r>
          </w:p>
        </w:tc>
        <w:tc>
          <w:tcPr>
            <w:tcW w:w="625" w:type="pct"/>
            <w:vAlign w:val="center"/>
          </w:tcPr>
          <w:p w:rsidR="003F7284" w:rsidRPr="003F7284" w:rsidRDefault="003F7284" w:rsidP="00306C8F">
            <w:pPr>
              <w:pStyle w:val="NoSpacing"/>
              <w:jc w:val="both"/>
              <w:rPr>
                <w:rFonts w:ascii="Georgia" w:hAnsi="Georgia"/>
                <w:i/>
                <w:sz w:val="20"/>
              </w:rPr>
            </w:pPr>
            <w:r w:rsidRPr="003F7284">
              <w:rPr>
                <w:rFonts w:ascii="Georgia" w:hAnsi="Georgia"/>
                <w:i/>
                <w:noProof/>
                <w:sz w:val="20"/>
              </w:rPr>
              <w:t>The advantages of implementing the stated recommendations from both, the financial and non-financial perspectives.</w:t>
            </w:r>
          </w:p>
        </w:tc>
        <w:tc>
          <w:tcPr>
            <w:tcW w:w="1358" w:type="pct"/>
            <w:vAlign w:val="center"/>
          </w:tcPr>
          <w:p w:rsidR="003F7284" w:rsidRPr="003F7284" w:rsidRDefault="003F7284" w:rsidP="00306C8F">
            <w:pPr>
              <w:pStyle w:val="NoSpacing"/>
              <w:jc w:val="both"/>
              <w:rPr>
                <w:rFonts w:ascii="Georgia" w:hAnsi="Georgia"/>
                <w:i/>
                <w:sz w:val="20"/>
              </w:rPr>
            </w:pPr>
            <w:r w:rsidRPr="003F7284">
              <w:rPr>
                <w:rFonts w:ascii="Georgia" w:hAnsi="Georgia"/>
                <w:i/>
                <w:sz w:val="20"/>
              </w:rPr>
              <w:t xml:space="preserve">During an LFA de-brief following the review, implementers may provide some comments on LFA findings stating </w:t>
            </w:r>
            <w:proofErr w:type="gramStart"/>
            <w:r w:rsidRPr="003F7284">
              <w:rPr>
                <w:rFonts w:ascii="Georgia" w:hAnsi="Georgia"/>
                <w:i/>
                <w:sz w:val="20"/>
              </w:rPr>
              <w:t>whether or not</w:t>
            </w:r>
            <w:proofErr w:type="gramEnd"/>
            <w:r w:rsidRPr="003F7284">
              <w:rPr>
                <w:rFonts w:ascii="Georgia" w:hAnsi="Georgia"/>
                <w:i/>
                <w:sz w:val="20"/>
              </w:rPr>
              <w:t xml:space="preserve"> they agree or disagree, the reasons thereof or provide some background information allowing </w:t>
            </w:r>
            <w:r w:rsidRPr="003F7284">
              <w:rPr>
                <w:rFonts w:ascii="Georgia" w:hAnsi="Georgia"/>
                <w:i/>
                <w:noProof/>
                <w:sz w:val="20"/>
              </w:rPr>
              <w:t>to better understand the issue</w:t>
            </w:r>
            <w:r w:rsidRPr="003F7284">
              <w:rPr>
                <w:rFonts w:ascii="Georgia" w:hAnsi="Georgia"/>
                <w:i/>
                <w:sz w:val="20"/>
              </w:rPr>
              <w:t xml:space="preserve">. LFA should document such responses and, where relevant, report these to the Global Fund in this section to allow for </w:t>
            </w:r>
            <w:r w:rsidRPr="003F7284">
              <w:rPr>
                <w:rFonts w:ascii="Georgia" w:hAnsi="Georgia"/>
                <w:i/>
                <w:noProof/>
                <w:sz w:val="20"/>
              </w:rPr>
              <w:t>better</w:t>
            </w:r>
            <w:r w:rsidRPr="003F7284">
              <w:rPr>
                <w:rFonts w:ascii="Georgia" w:hAnsi="Georgia"/>
                <w:i/>
                <w:sz w:val="20"/>
              </w:rPr>
              <w:t xml:space="preserve"> understanding of the context and nature of the issue. </w:t>
            </w: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2</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5000" w:type="pct"/>
            <w:gridSpan w:val="6"/>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MEDIUM PRIORITY (GRADE II)</w:t>
            </w: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3</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4</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5000" w:type="pct"/>
            <w:gridSpan w:val="6"/>
            <w:shd w:val="clear" w:color="auto" w:fill="000000" w:themeFill="text1"/>
            <w:vAlign w:val="center"/>
          </w:tcPr>
          <w:p w:rsidR="003F7284" w:rsidRPr="003F7284" w:rsidRDefault="003F7284" w:rsidP="00306C8F">
            <w:pPr>
              <w:pStyle w:val="NoSpacing"/>
              <w:jc w:val="both"/>
              <w:rPr>
                <w:rFonts w:ascii="Georgia" w:hAnsi="Georgia"/>
                <w:color w:val="FFFFFF" w:themeColor="background1"/>
                <w:sz w:val="20"/>
              </w:rPr>
            </w:pPr>
            <w:r w:rsidRPr="003F7284">
              <w:rPr>
                <w:rFonts w:ascii="Georgia" w:hAnsi="Georgia"/>
                <w:color w:val="FFFFFF" w:themeColor="background1"/>
                <w:sz w:val="20"/>
              </w:rPr>
              <w:t>LOW PRIORITY (GRADE III)</w:t>
            </w: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5</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03"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6</w:t>
            </w:r>
          </w:p>
        </w:tc>
        <w:tc>
          <w:tcPr>
            <w:tcW w:w="1146"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624" w:type="pct"/>
            <w:shd w:val="clear" w:color="auto" w:fill="auto"/>
            <w:vAlign w:val="center"/>
          </w:tcPr>
          <w:p w:rsidR="003F7284" w:rsidRPr="003F7284" w:rsidRDefault="003F7284" w:rsidP="00306C8F">
            <w:pPr>
              <w:pStyle w:val="NoSpacing"/>
              <w:jc w:val="both"/>
              <w:rPr>
                <w:rFonts w:ascii="Georgia" w:hAnsi="Georgia"/>
                <w:sz w:val="20"/>
              </w:rPr>
            </w:pPr>
          </w:p>
        </w:tc>
        <w:tc>
          <w:tcPr>
            <w:tcW w:w="1144" w:type="pct"/>
            <w:shd w:val="clear" w:color="auto" w:fill="auto"/>
            <w:vAlign w:val="center"/>
          </w:tcPr>
          <w:p w:rsidR="003F7284" w:rsidRPr="003F7284" w:rsidRDefault="003F7284" w:rsidP="00306C8F">
            <w:pPr>
              <w:pStyle w:val="NoSpacing"/>
              <w:jc w:val="both"/>
              <w:rPr>
                <w:rFonts w:ascii="Georgia" w:hAnsi="Georgia"/>
                <w:sz w:val="20"/>
              </w:rPr>
            </w:pPr>
          </w:p>
        </w:tc>
        <w:tc>
          <w:tcPr>
            <w:tcW w:w="625" w:type="pct"/>
            <w:vAlign w:val="center"/>
          </w:tcPr>
          <w:p w:rsidR="003F7284" w:rsidRPr="003F7284" w:rsidRDefault="003F7284" w:rsidP="00306C8F">
            <w:pPr>
              <w:pStyle w:val="NoSpacing"/>
              <w:jc w:val="both"/>
              <w:rPr>
                <w:rFonts w:ascii="Georgia" w:hAnsi="Georgia"/>
                <w:sz w:val="20"/>
              </w:rPr>
            </w:pPr>
          </w:p>
        </w:tc>
        <w:tc>
          <w:tcPr>
            <w:tcW w:w="1358" w:type="pct"/>
            <w:vAlign w:val="center"/>
          </w:tcPr>
          <w:p w:rsidR="003F7284" w:rsidRPr="003F7284" w:rsidRDefault="003F7284" w:rsidP="00306C8F">
            <w:pPr>
              <w:pStyle w:val="NoSpacing"/>
              <w:jc w:val="both"/>
              <w:rPr>
                <w:rFonts w:ascii="Georgia" w:hAnsi="Georgia"/>
                <w:sz w:val="20"/>
              </w:rPr>
            </w:pPr>
          </w:p>
        </w:tc>
      </w:tr>
    </w:tbl>
    <w:p w:rsidR="003F7284" w:rsidRDefault="003F7284" w:rsidP="003F7284">
      <w:pPr>
        <w:pStyle w:val="NoSpacing"/>
        <w:jc w:val="both"/>
        <w:rPr>
          <w:rFonts w:ascii="Georgia" w:eastAsia="Calibri" w:hAnsi="Georgia" w:cs="Calibri"/>
          <w:color w:val="FFFFFF"/>
        </w:rPr>
      </w:pPr>
    </w:p>
    <w:p w:rsidR="003F7284" w:rsidRDefault="003F7284" w:rsidP="003F7284">
      <w:pPr>
        <w:pStyle w:val="NoSpacing"/>
        <w:jc w:val="both"/>
        <w:rPr>
          <w:rFonts w:ascii="Georgia" w:eastAsia="Calibri" w:hAnsi="Georgia" w:cs="Calibri"/>
          <w:color w:val="FFFFFF"/>
        </w:rPr>
      </w:pPr>
    </w:p>
    <w:p w:rsidR="003F7284" w:rsidRPr="003F7284" w:rsidRDefault="003F7284" w:rsidP="003F7284">
      <w:pPr>
        <w:pStyle w:val="NoSpacing"/>
        <w:jc w:val="both"/>
        <w:rPr>
          <w:rFonts w:ascii="Georgia" w:eastAsia="Calibri" w:hAnsi="Georgia" w:cs="Calibri"/>
          <w:color w:val="FFFFFF"/>
        </w:rPr>
      </w:pPr>
    </w:p>
    <w:p w:rsidR="003F7284" w:rsidRPr="003F7284" w:rsidRDefault="003F7284" w:rsidP="003F7284">
      <w:pPr>
        <w:shd w:val="clear" w:color="auto" w:fill="FFFFFF" w:themeFill="background1"/>
        <w:suppressAutoHyphens/>
        <w:jc w:val="both"/>
        <w:rPr>
          <w:b/>
          <w:color w:val="000000" w:themeColor="text1"/>
          <w:kern w:val="1"/>
          <w:szCs w:val="22"/>
          <w:lang w:eastAsia="ar-SA"/>
        </w:rPr>
      </w:pPr>
      <w:r w:rsidRPr="003F7284">
        <w:rPr>
          <w:b/>
          <w:color w:val="000000" w:themeColor="text1"/>
          <w:kern w:val="1"/>
          <w:szCs w:val="22"/>
          <w:lang w:eastAsia="ar-SA"/>
        </w:rPr>
        <w:lastRenderedPageBreak/>
        <w:t>5. Individuals Interviewed</w:t>
      </w:r>
    </w:p>
    <w:tbl>
      <w:tblPr>
        <w:tblW w:w="52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524"/>
        <w:gridCol w:w="3524"/>
        <w:gridCol w:w="2144"/>
        <w:gridCol w:w="5209"/>
      </w:tblGrid>
      <w:tr w:rsidR="003F7284" w:rsidRPr="003F7284" w:rsidTr="00306C8F">
        <w:trPr>
          <w:trHeight w:val="305"/>
        </w:trPr>
        <w:tc>
          <w:tcPr>
            <w:tcW w:w="104"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1198"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Name</w:t>
            </w:r>
          </w:p>
        </w:tc>
        <w:tc>
          <w:tcPr>
            <w:tcW w:w="1198"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Job Title</w:t>
            </w:r>
          </w:p>
        </w:tc>
        <w:tc>
          <w:tcPr>
            <w:tcW w:w="729"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Location</w:t>
            </w:r>
          </w:p>
        </w:tc>
        <w:tc>
          <w:tcPr>
            <w:tcW w:w="1771" w:type="pct"/>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Contact Information</w:t>
            </w:r>
          </w:p>
        </w:tc>
      </w:tr>
      <w:tr w:rsidR="003F7284" w:rsidRPr="003F7284" w:rsidTr="00306C8F">
        <w:trPr>
          <w:trHeight w:val="50"/>
        </w:trPr>
        <w:tc>
          <w:tcPr>
            <w:tcW w:w="104"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1</w:t>
            </w:r>
          </w:p>
        </w:tc>
        <w:tc>
          <w:tcPr>
            <w:tcW w:w="1198"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98" w:type="pct"/>
            <w:shd w:val="clear" w:color="auto" w:fill="auto"/>
            <w:vAlign w:val="center"/>
          </w:tcPr>
          <w:p w:rsidR="003F7284" w:rsidRPr="003F7284" w:rsidRDefault="003F7284" w:rsidP="00306C8F">
            <w:pPr>
              <w:pStyle w:val="NoSpacing"/>
              <w:jc w:val="both"/>
              <w:rPr>
                <w:rFonts w:ascii="Georgia" w:hAnsi="Georgia"/>
                <w:sz w:val="20"/>
              </w:rPr>
            </w:pPr>
          </w:p>
        </w:tc>
        <w:tc>
          <w:tcPr>
            <w:tcW w:w="729" w:type="pct"/>
            <w:shd w:val="clear" w:color="auto" w:fill="auto"/>
            <w:vAlign w:val="center"/>
          </w:tcPr>
          <w:p w:rsidR="003F7284" w:rsidRPr="003F7284" w:rsidRDefault="003F7284" w:rsidP="00306C8F">
            <w:pPr>
              <w:pStyle w:val="NoSpacing"/>
              <w:jc w:val="both"/>
              <w:rPr>
                <w:rFonts w:ascii="Georgia" w:hAnsi="Georgia"/>
                <w:sz w:val="20"/>
              </w:rPr>
            </w:pPr>
          </w:p>
        </w:tc>
        <w:tc>
          <w:tcPr>
            <w:tcW w:w="1771"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04"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2</w:t>
            </w:r>
          </w:p>
        </w:tc>
        <w:tc>
          <w:tcPr>
            <w:tcW w:w="1198"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98" w:type="pct"/>
            <w:shd w:val="clear" w:color="auto" w:fill="auto"/>
            <w:vAlign w:val="center"/>
          </w:tcPr>
          <w:p w:rsidR="003F7284" w:rsidRPr="003F7284" w:rsidRDefault="003F7284" w:rsidP="00306C8F">
            <w:pPr>
              <w:pStyle w:val="NoSpacing"/>
              <w:jc w:val="both"/>
              <w:rPr>
                <w:rFonts w:ascii="Georgia" w:hAnsi="Georgia"/>
                <w:sz w:val="20"/>
              </w:rPr>
            </w:pPr>
          </w:p>
        </w:tc>
        <w:tc>
          <w:tcPr>
            <w:tcW w:w="729" w:type="pct"/>
            <w:shd w:val="clear" w:color="auto" w:fill="auto"/>
            <w:vAlign w:val="center"/>
          </w:tcPr>
          <w:p w:rsidR="003F7284" w:rsidRPr="003F7284" w:rsidRDefault="003F7284" w:rsidP="00306C8F">
            <w:pPr>
              <w:pStyle w:val="NoSpacing"/>
              <w:jc w:val="both"/>
              <w:rPr>
                <w:rFonts w:ascii="Georgia" w:hAnsi="Georgia"/>
                <w:sz w:val="20"/>
              </w:rPr>
            </w:pPr>
          </w:p>
        </w:tc>
        <w:tc>
          <w:tcPr>
            <w:tcW w:w="1771" w:type="pct"/>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04"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3</w:t>
            </w:r>
          </w:p>
        </w:tc>
        <w:tc>
          <w:tcPr>
            <w:tcW w:w="1198"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98" w:type="pct"/>
            <w:shd w:val="clear" w:color="auto" w:fill="auto"/>
            <w:vAlign w:val="center"/>
          </w:tcPr>
          <w:p w:rsidR="003F7284" w:rsidRPr="003F7284" w:rsidRDefault="003F7284" w:rsidP="00306C8F">
            <w:pPr>
              <w:pStyle w:val="NoSpacing"/>
              <w:jc w:val="both"/>
              <w:rPr>
                <w:rFonts w:ascii="Georgia" w:hAnsi="Georgia"/>
                <w:sz w:val="20"/>
              </w:rPr>
            </w:pPr>
          </w:p>
        </w:tc>
        <w:tc>
          <w:tcPr>
            <w:tcW w:w="729" w:type="pct"/>
            <w:shd w:val="clear" w:color="auto" w:fill="auto"/>
            <w:vAlign w:val="center"/>
          </w:tcPr>
          <w:p w:rsidR="003F7284" w:rsidRPr="003F7284" w:rsidRDefault="003F7284" w:rsidP="00306C8F">
            <w:pPr>
              <w:pStyle w:val="NoSpacing"/>
              <w:jc w:val="both"/>
              <w:rPr>
                <w:rFonts w:ascii="Georgia" w:hAnsi="Georgia"/>
                <w:sz w:val="20"/>
              </w:rPr>
            </w:pPr>
          </w:p>
        </w:tc>
        <w:tc>
          <w:tcPr>
            <w:tcW w:w="1771" w:type="pct"/>
            <w:vAlign w:val="center"/>
          </w:tcPr>
          <w:p w:rsidR="003F7284" w:rsidRPr="003F7284" w:rsidRDefault="003F7284" w:rsidP="00306C8F">
            <w:pPr>
              <w:pStyle w:val="NoSpacing"/>
              <w:jc w:val="both"/>
              <w:rPr>
                <w:rFonts w:ascii="Georgia" w:hAnsi="Georgia"/>
                <w:sz w:val="20"/>
              </w:rPr>
            </w:pPr>
          </w:p>
        </w:tc>
      </w:tr>
    </w:tbl>
    <w:p w:rsidR="003F7284" w:rsidRPr="003F7284" w:rsidRDefault="003F7284" w:rsidP="003F7284">
      <w:pPr>
        <w:pStyle w:val="NoSpacing"/>
        <w:jc w:val="both"/>
        <w:rPr>
          <w:rFonts w:ascii="Georgia" w:eastAsia="Calibri" w:hAnsi="Georgia" w:cs="Calibri"/>
          <w:color w:val="FFFFFF"/>
        </w:rPr>
      </w:pPr>
    </w:p>
    <w:p w:rsidR="003F7284" w:rsidRPr="003F7284" w:rsidRDefault="003F7284" w:rsidP="003F7284">
      <w:pPr>
        <w:pStyle w:val="NoSpacing"/>
        <w:jc w:val="both"/>
        <w:rPr>
          <w:rFonts w:ascii="Georgia" w:eastAsia="Calibri" w:hAnsi="Georgia" w:cs="Calibri"/>
          <w:color w:val="FFFFFF"/>
        </w:rPr>
      </w:pPr>
    </w:p>
    <w:p w:rsidR="003F7284" w:rsidRPr="003F7284" w:rsidRDefault="003F7284" w:rsidP="003F7284">
      <w:pPr>
        <w:shd w:val="clear" w:color="auto" w:fill="FFFFFF" w:themeFill="background1"/>
        <w:suppressAutoHyphens/>
        <w:jc w:val="both"/>
        <w:rPr>
          <w:b/>
          <w:color w:val="000000" w:themeColor="text1"/>
          <w:kern w:val="1"/>
          <w:szCs w:val="22"/>
          <w:lang w:eastAsia="ar-SA"/>
        </w:rPr>
      </w:pPr>
      <w:r w:rsidRPr="003F7284">
        <w:rPr>
          <w:b/>
          <w:color w:val="000000" w:themeColor="text1"/>
          <w:kern w:val="1"/>
          <w:szCs w:val="22"/>
          <w:lang w:eastAsia="ar-SA"/>
        </w:rPr>
        <w:t>6. Documents Reviewed</w:t>
      </w:r>
    </w:p>
    <w:tbl>
      <w:tblPr>
        <w:tblW w:w="339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7049"/>
        <w:gridCol w:w="2143"/>
      </w:tblGrid>
      <w:tr w:rsidR="003F7284" w:rsidRPr="003F7284" w:rsidTr="00306C8F">
        <w:trPr>
          <w:trHeight w:val="305"/>
        </w:trPr>
        <w:tc>
          <w:tcPr>
            <w:tcW w:w="161"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w:t>
            </w:r>
          </w:p>
        </w:tc>
        <w:tc>
          <w:tcPr>
            <w:tcW w:w="3711"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Document Title(s)</w:t>
            </w:r>
          </w:p>
        </w:tc>
        <w:tc>
          <w:tcPr>
            <w:tcW w:w="1128" w:type="pct"/>
            <w:shd w:val="clear" w:color="auto" w:fill="auto"/>
            <w:vAlign w:val="center"/>
          </w:tcPr>
          <w:p w:rsidR="003F7284" w:rsidRPr="003F7284" w:rsidRDefault="003F7284" w:rsidP="00306C8F">
            <w:pPr>
              <w:pStyle w:val="NoSpacing"/>
              <w:jc w:val="both"/>
              <w:rPr>
                <w:rFonts w:ascii="Georgia" w:hAnsi="Georgia"/>
                <w:b/>
                <w:sz w:val="20"/>
              </w:rPr>
            </w:pPr>
            <w:r w:rsidRPr="003F7284">
              <w:rPr>
                <w:rFonts w:ascii="Georgia" w:hAnsi="Georgia"/>
                <w:b/>
                <w:sz w:val="20"/>
              </w:rPr>
              <w:t>Format/Location</w:t>
            </w:r>
          </w:p>
        </w:tc>
      </w:tr>
      <w:tr w:rsidR="003F7284" w:rsidRPr="003F7284" w:rsidTr="00306C8F">
        <w:trPr>
          <w:trHeight w:val="50"/>
        </w:trPr>
        <w:tc>
          <w:tcPr>
            <w:tcW w:w="161"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1</w:t>
            </w:r>
          </w:p>
        </w:tc>
        <w:tc>
          <w:tcPr>
            <w:tcW w:w="3711"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28" w:type="pct"/>
            <w:shd w:val="clear" w:color="auto" w:fill="auto"/>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61"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2</w:t>
            </w:r>
          </w:p>
        </w:tc>
        <w:tc>
          <w:tcPr>
            <w:tcW w:w="3711"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28" w:type="pct"/>
            <w:shd w:val="clear" w:color="auto" w:fill="auto"/>
            <w:vAlign w:val="center"/>
          </w:tcPr>
          <w:p w:rsidR="003F7284" w:rsidRPr="003F7284" w:rsidRDefault="003F7284" w:rsidP="00306C8F">
            <w:pPr>
              <w:pStyle w:val="NoSpacing"/>
              <w:jc w:val="both"/>
              <w:rPr>
                <w:rFonts w:ascii="Georgia" w:hAnsi="Georgia"/>
                <w:sz w:val="20"/>
              </w:rPr>
            </w:pPr>
          </w:p>
        </w:tc>
      </w:tr>
      <w:tr w:rsidR="003F7284" w:rsidRPr="003F7284" w:rsidTr="00306C8F">
        <w:trPr>
          <w:trHeight w:val="50"/>
        </w:trPr>
        <w:tc>
          <w:tcPr>
            <w:tcW w:w="161" w:type="pct"/>
            <w:shd w:val="clear" w:color="auto" w:fill="auto"/>
            <w:vAlign w:val="center"/>
          </w:tcPr>
          <w:p w:rsidR="003F7284" w:rsidRPr="003F7284" w:rsidRDefault="003F7284" w:rsidP="00306C8F">
            <w:pPr>
              <w:pStyle w:val="NoSpacing"/>
              <w:jc w:val="both"/>
              <w:rPr>
                <w:rFonts w:ascii="Georgia" w:hAnsi="Georgia"/>
                <w:sz w:val="20"/>
              </w:rPr>
            </w:pPr>
            <w:r w:rsidRPr="003F7284">
              <w:rPr>
                <w:rFonts w:ascii="Georgia" w:hAnsi="Georgia"/>
                <w:sz w:val="20"/>
              </w:rPr>
              <w:t>3</w:t>
            </w:r>
          </w:p>
        </w:tc>
        <w:tc>
          <w:tcPr>
            <w:tcW w:w="3711" w:type="pct"/>
            <w:shd w:val="clear" w:color="auto" w:fill="auto"/>
            <w:vAlign w:val="center"/>
          </w:tcPr>
          <w:p w:rsidR="003F7284" w:rsidRPr="003F7284" w:rsidRDefault="003F7284" w:rsidP="00306C8F">
            <w:pPr>
              <w:pStyle w:val="NoSpacing"/>
              <w:jc w:val="both"/>
              <w:rPr>
                <w:rFonts w:ascii="Georgia" w:hAnsi="Georgia"/>
                <w:sz w:val="20"/>
              </w:rPr>
            </w:pPr>
          </w:p>
          <w:p w:rsidR="003F7284" w:rsidRPr="003F7284" w:rsidRDefault="003F7284" w:rsidP="00306C8F">
            <w:pPr>
              <w:pStyle w:val="NoSpacing"/>
              <w:jc w:val="both"/>
              <w:rPr>
                <w:rFonts w:ascii="Georgia" w:hAnsi="Georgia"/>
                <w:sz w:val="20"/>
              </w:rPr>
            </w:pPr>
          </w:p>
        </w:tc>
        <w:tc>
          <w:tcPr>
            <w:tcW w:w="1128" w:type="pct"/>
            <w:shd w:val="clear" w:color="auto" w:fill="auto"/>
            <w:vAlign w:val="center"/>
          </w:tcPr>
          <w:p w:rsidR="003F7284" w:rsidRPr="003F7284" w:rsidRDefault="003F7284" w:rsidP="00306C8F">
            <w:pPr>
              <w:pStyle w:val="NoSpacing"/>
              <w:jc w:val="both"/>
              <w:rPr>
                <w:rFonts w:ascii="Georgia" w:hAnsi="Georgia"/>
                <w:sz w:val="20"/>
              </w:rPr>
            </w:pPr>
          </w:p>
        </w:tc>
      </w:tr>
    </w:tbl>
    <w:p w:rsidR="003F7284" w:rsidRPr="003F7284" w:rsidRDefault="003F7284" w:rsidP="003F7284">
      <w:pPr>
        <w:pStyle w:val="NoSpacing"/>
        <w:jc w:val="both"/>
        <w:rPr>
          <w:rFonts w:ascii="Georgia" w:eastAsia="Calibri" w:hAnsi="Georgia" w:cs="Calibri"/>
          <w:color w:val="FFFFFF"/>
        </w:rPr>
      </w:pPr>
    </w:p>
    <w:p w:rsidR="003F7284" w:rsidRDefault="003F7284">
      <w:pPr>
        <w:rPr>
          <w:sz w:val="24"/>
          <w:szCs w:val="22"/>
        </w:rPr>
      </w:pPr>
    </w:p>
    <w:sectPr w:rsidR="003F7284" w:rsidSect="00095619">
      <w:pgSz w:w="16840" w:h="11900" w:orient="landscape"/>
      <w:pgMar w:top="1134" w:right="1134" w:bottom="1560" w:left="1701"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5D7" w:rsidRDefault="004475D7" w:rsidP="007F2537">
      <w:r>
        <w:separator/>
      </w:r>
    </w:p>
  </w:endnote>
  <w:endnote w:type="continuationSeparator" w:id="0">
    <w:p w:rsidR="004475D7" w:rsidRDefault="004475D7"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otham Narrow Book">
    <w:altName w:val="Arial"/>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3F7284">
    <w:pPr>
      <w:pStyle w:val="Footer"/>
    </w:pPr>
    <w:r>
      <w:rPr>
        <w:noProof/>
      </w:rPr>
      <mc:AlternateContent>
        <mc:Choice Requires="wps">
          <w:drawing>
            <wp:anchor distT="0" distB="0" distL="114300" distR="114300" simplePos="0" relativeHeight="251717632" behindDoc="0" locked="0" layoutInCell="1" allowOverlap="1" wp14:anchorId="5A7787B5" wp14:editId="40AAA8B9">
              <wp:simplePos x="0" y="0"/>
              <wp:positionH relativeFrom="margin">
                <wp:align>left</wp:align>
              </wp:positionH>
              <wp:positionV relativeFrom="page">
                <wp:posOffset>10052050</wp:posOffset>
              </wp:positionV>
              <wp:extent cx="6292850" cy="356235"/>
              <wp:effectExtent l="0" t="0" r="12700" b="5715"/>
              <wp:wrapThrough wrapText="bothSides">
                <wp:wrapPolygon edited="0">
                  <wp:start x="0" y="0"/>
                  <wp:lineTo x="0" y="20791"/>
                  <wp:lineTo x="21578" y="20791"/>
                  <wp:lineTo x="21578"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6292850" cy="356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Default="00F03561" w:rsidP="003D5881">
                          <w:pPr>
                            <w:pStyle w:val="Footer"/>
                          </w:pPr>
                          <w:r>
                            <w:t xml:space="preserve">LFA Terms of Reference for </w:t>
                          </w:r>
                          <w:r w:rsidR="002F1A8D" w:rsidRPr="002F1A8D">
                            <w:t>the Review of independence and effectiveness of internal audit function</w:t>
                          </w:r>
                          <w:r>
                            <w:t>,</w:t>
                          </w:r>
                          <w:r w:rsidR="00820321">
                            <w:t xml:space="preserve"> </w:t>
                          </w:r>
                          <w:r w:rsidR="00110FA9">
                            <w:t>January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7787B5" id="_x0000_t202" coordsize="21600,21600" o:spt="202" path="m,l,21600r21600,l21600,xe">
              <v:stroke joinstyle="miter"/>
              <v:path gradientshapeok="t" o:connecttype="rect"/>
            </v:shapetype>
            <v:shape id="Text Box 12" o:spid="_x0000_s1026" type="#_x0000_t202" style="position:absolute;margin-left:0;margin-top:791.5pt;width:495.5pt;height:28.05pt;z-index:25171763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" filled="f" stroked="f">
              <v:textbox inset="0,0,0,0">
                <w:txbxContent>
                  <w:p w:rsidR="00D65FD9" w:rsidRDefault="00F03561" w:rsidP="003D5881">
                    <w:pPr>
                      <w:pStyle w:val="Footer"/>
                    </w:pPr>
                    <w:r>
                      <w:t xml:space="preserve">LFA Terms of Reference for </w:t>
                    </w:r>
                    <w:r w:rsidR="002F1A8D" w:rsidRPr="002F1A8D">
                      <w:t>the Review of independence and effectiveness of internal audit function</w:t>
                    </w:r>
                    <w:r>
                      <w:t>,</w:t>
                    </w:r>
                    <w:r w:rsidR="00820321">
                      <w:t xml:space="preserve"> </w:t>
                    </w:r>
                    <w:r w:rsidR="00110FA9">
                      <w:t>January 2020</w:t>
                    </w:r>
                  </w:p>
                </w:txbxContent>
              </v:textbox>
              <w10:wrap type="through" anchorx="margin" anchory="page"/>
            </v:shape>
          </w:pict>
        </mc:Fallback>
      </mc:AlternateContent>
    </w:r>
    <w:r w:rsidR="00402DFE">
      <w:rPr>
        <w:noProof/>
      </w:rPr>
      <mc:AlternateContent>
        <mc:Choice Requires="wps">
          <w:drawing>
            <wp:anchor distT="0" distB="0" distL="114300" distR="114300" simplePos="0" relativeHeight="251727872" behindDoc="0" locked="0" layoutInCell="1" allowOverlap="1" wp14:anchorId="1561B445" wp14:editId="7E2A87DA">
              <wp:simplePos x="0" y="0"/>
              <wp:positionH relativeFrom="page">
                <wp:posOffset>8853170</wp:posOffset>
              </wp:positionH>
              <wp:positionV relativeFrom="page">
                <wp:posOffset>6935894</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B445" id="Text Box 26" o:spid="_x0000_s1027" type="#_x0000_t202" style="position:absolute;margin-left:697.1pt;margin-top:546.15pt;width:1in;height:28.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" filled="f" stroked="f">
              <v:textbox inset="0,0,0,0">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v:textbox>
              <w10:wrap anchorx="page" anchory="page"/>
            </v:shape>
          </w:pict>
        </mc:Fallback>
      </mc:AlternateContent>
    </w:r>
    <w:r w:rsidR="00D65FD9">
      <w:rPr>
        <w:noProof/>
      </w:rPr>
      <mc:AlternateContent>
        <mc:Choice Requires="wps">
          <w:drawing>
            <wp:anchor distT="0" distB="0" distL="114300" distR="114300" simplePos="0" relativeHeight="251718656" behindDoc="0" locked="0" layoutInCell="1" allowOverlap="1" wp14:anchorId="056196DE" wp14:editId="0F43003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56196DE" id="Text Box 13" o:spid="_x0000_s1028" type="#_x0000_t202" style="position:absolute;margin-left:466.55pt;margin-top:791.8pt;width:1in;height:28.3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MdOPiGkAgAAmwUAAA4AAAAAAAAAAAAA&#10;AAAALgIAAGRycy9lMm9Eb2MueG1sUEsBAi0AFAAGAAgAAAAhAGNf3GDiAAAADgEAAA8AAAAAAAAA&#10;AAAAAAAA/gQAAGRycy9kb3ducmV2LnhtbFBLBQYAAAAABAAEAPMAAAANBgAAAAA=&#10;" filled="f" stroked="f">
              <v:textbox inset="0,0,0,0">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0A0028">
                      <w:rPr>
                        <w:noProof/>
                      </w:rPr>
                      <w:t>1</w:t>
                    </w:r>
                    <w:r w:rsidRPr="0073530F">
                      <w:fldChar w:fldCharType="end"/>
                    </w:r>
                    <w:r w:rsidRPr="0073530F">
                      <w:t xml:space="preserve"> </w:t>
                    </w:r>
                  </w:p>
                </w:txbxContent>
              </v:textbox>
              <w10:wrap type="through" anchorx="page" anchory="page"/>
            </v:shape>
          </w:pict>
        </mc:Fallback>
      </mc:AlternateContent>
    </w:r>
    <w:r w:rsidR="00D65FD9">
      <w:rPr>
        <w:noProof/>
      </w:rPr>
      <w:drawing>
        <wp:anchor distT="0" distB="0" distL="114300" distR="114300" simplePos="0" relativeHeight="251706368" behindDoc="0" locked="0" layoutInCell="1" allowOverlap="1" wp14:anchorId="5CCDC5DF" wp14:editId="0C95A098">
          <wp:simplePos x="0" y="0"/>
          <wp:positionH relativeFrom="page">
            <wp:posOffset>720090</wp:posOffset>
          </wp:positionH>
          <wp:positionV relativeFrom="page">
            <wp:posOffset>9825355</wp:posOffset>
          </wp:positionV>
          <wp:extent cx="6116320" cy="143510"/>
          <wp:effectExtent l="0" t="0" r="508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56568D">
    <w:pPr>
      <w:pStyle w:val="Footer"/>
    </w:pPr>
    <w:r>
      <w:rPr>
        <w:noProof/>
      </w:rPr>
      <mc:AlternateContent>
        <mc:Choice Requires="wps">
          <w:drawing>
            <wp:anchor distT="0" distB="0" distL="114300" distR="114300" simplePos="0" relativeHeight="251712512" behindDoc="0" locked="0" layoutInCell="1" allowOverlap="1" wp14:anchorId="6656D7AA" wp14:editId="0AE514A9">
              <wp:simplePos x="0" y="0"/>
              <wp:positionH relativeFrom="page">
                <wp:posOffset>717550</wp:posOffset>
              </wp:positionH>
              <wp:positionV relativeFrom="page">
                <wp:posOffset>6921500</wp:posOffset>
              </wp:positionV>
              <wp:extent cx="7004050" cy="356235"/>
              <wp:effectExtent l="0" t="0" r="6350" b="5715"/>
              <wp:wrapNone/>
              <wp:docPr id="3" name="Text Box 3"/>
              <wp:cNvGraphicFramePr/>
              <a:graphic xmlns:a="http://schemas.openxmlformats.org/drawingml/2006/main">
                <a:graphicData uri="http://schemas.microsoft.com/office/word/2010/wordprocessingShape">
                  <wps:wsp>
                    <wps:cNvSpPr txBox="1"/>
                    <wps:spPr>
                      <a:xfrm>
                        <a:off x="0" y="0"/>
                        <a:ext cx="7004050" cy="35623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95619" w:rsidRDefault="00095619" w:rsidP="00095619">
                          <w:pPr>
                            <w:pStyle w:val="Footer"/>
                          </w:pPr>
                          <w:r>
                            <w:t xml:space="preserve">LFA Terms of Reference for </w:t>
                          </w:r>
                          <w:r w:rsidR="0056568D" w:rsidRPr="0056568D">
                            <w:t>the Review of independence and effectiveness of internal audit function</w:t>
                          </w:r>
                          <w:r>
                            <w:t xml:space="preserve">, </w:t>
                          </w:r>
                          <w:r w:rsidR="00110FA9">
                            <w:t>January 2020</w:t>
                          </w:r>
                        </w:p>
                        <w:p w:rsidR="00D65FD9" w:rsidRPr="00DB2F04" w:rsidRDefault="00D65FD9" w:rsidP="007159EB">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6D7AA" id="_x0000_t202" coordsize="21600,21600" o:spt="202" path="m,l,21600r21600,l21600,xe">
              <v:stroke joinstyle="miter"/>
              <v:path gradientshapeok="t" o:connecttype="rect"/>
            </v:shapetype>
            <v:shape id="Text Box 3" o:spid="_x0000_s1029" type="#_x0000_t202" style="position:absolute;margin-left:56.5pt;margin-top:545pt;width:551.5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" filled="f" stroked="f">
              <v:textbox inset="0,0,0,0">
                <w:txbxContent>
                  <w:p w:rsidR="00095619" w:rsidRDefault="00095619" w:rsidP="00095619">
                    <w:pPr>
                      <w:pStyle w:val="Footer"/>
                    </w:pPr>
                    <w:r>
                      <w:t xml:space="preserve">LFA Terms of Reference for </w:t>
                    </w:r>
                    <w:r w:rsidR="0056568D" w:rsidRPr="0056568D">
                      <w:t>the Review of independence and effectiveness of internal audit function</w:t>
                    </w:r>
                    <w:r>
                      <w:t xml:space="preserve">, </w:t>
                    </w:r>
                    <w:r w:rsidR="00110FA9">
                      <w:t>January 2020</w:t>
                    </w:r>
                  </w:p>
                  <w:p w:rsidR="00D65FD9" w:rsidRPr="00DB2F04" w:rsidRDefault="00D65FD9" w:rsidP="007159EB">
                    <w:pPr>
                      <w:pStyle w:val="Footer"/>
                    </w:pPr>
                  </w:p>
                </w:txbxContent>
              </v:textbox>
              <w10:wrap anchorx="page" anchory="page"/>
            </v:shape>
          </w:pict>
        </mc:Fallback>
      </mc:AlternateContent>
    </w:r>
    <w:r w:rsidR="00D65FD9">
      <w:rPr>
        <w:noProof/>
      </w:rPr>
      <mc:AlternateContent>
        <mc:Choice Requires="wps">
          <w:drawing>
            <wp:anchor distT="0" distB="0" distL="114300" distR="114300" simplePos="0" relativeHeight="251713536" behindDoc="0" locked="0" layoutInCell="1" allowOverlap="1" wp14:anchorId="5A17B15C" wp14:editId="0A8489F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17B15C" id="_x0000_t202" coordsize="21600,21600" o:spt="202" path="m,l,21600r21600,l21600,xe">
              <v:stroke joinstyle="miter"/>
              <v:path gradientshapeok="t" o:connecttype="rect"/>
            </v:shapetype>
            <v:shape id="Text Box 10" o:spid="_x0000_s1029" type="#_x0000_t202"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C8sLDyowIAAJsFAAAOAAAAAAAAAAAAAAAAAC4C&#10;AABkcnMvZTJvRG9jLnhtbFBLAQItABQABgAIAAAAIQCZa+Dl3gAAAAoBAAAPAAAAAAAAAAAAAAAA&#10;AP0EAABkcnMvZG93bnJldi54bWxQSwUGAAAAAAQABADzAAAACAYAAAAA&#10;" filled="f" stroked="f">
              <v:textbox inset="0,0,0,0">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r w:rsidR="00D65FD9">
      <w:rPr>
        <w:noProof/>
      </w:rPr>
      <w:drawing>
        <wp:anchor distT="0" distB="0" distL="114300" distR="114300" simplePos="0" relativeHeight="251711488" behindDoc="0" locked="0" layoutInCell="1" allowOverlap="1" wp14:anchorId="1BC0D5A8" wp14:editId="19AC87DE">
          <wp:simplePos x="0" y="0"/>
          <wp:positionH relativeFrom="page">
            <wp:posOffset>720090</wp:posOffset>
          </wp:positionH>
          <wp:positionV relativeFrom="page">
            <wp:posOffset>6689725</wp:posOffset>
          </wp:positionV>
          <wp:extent cx="9251950" cy="216535"/>
          <wp:effectExtent l="0" t="0" r="0" b="1206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5D7" w:rsidRDefault="004475D7" w:rsidP="007F2537">
      <w:r>
        <w:separator/>
      </w:r>
    </w:p>
  </w:footnote>
  <w:footnote w:type="continuationSeparator" w:id="0">
    <w:p w:rsidR="004475D7" w:rsidRDefault="004475D7" w:rsidP="007F2537">
      <w:r>
        <w:continuationSeparator/>
      </w:r>
    </w:p>
  </w:footnote>
  <w:footnote w:id="1">
    <w:p w:rsidR="009B30E0" w:rsidRDefault="009B30E0" w:rsidP="009B30E0">
      <w:pPr>
        <w:pStyle w:val="FootnoteText"/>
      </w:pPr>
      <w:r>
        <w:rPr>
          <w:rStyle w:val="FootnoteReference"/>
        </w:rPr>
        <w:footnoteRef/>
      </w:r>
      <w:r>
        <w:t xml:space="preserve"> </w:t>
      </w:r>
      <w:r w:rsidRPr="00FB0853">
        <w:rPr>
          <w:sz w:val="18"/>
        </w:rPr>
        <w:t>Issued in December 2017</w:t>
      </w:r>
    </w:p>
  </w:footnote>
  <w:footnote w:id="2">
    <w:p w:rsidR="009B30E0" w:rsidRDefault="009B30E0" w:rsidP="009B30E0">
      <w:pPr>
        <w:pStyle w:val="FootnoteText"/>
      </w:pPr>
      <w:r>
        <w:rPr>
          <w:rStyle w:val="FootnoteReference"/>
        </w:rPr>
        <w:footnoteRef/>
      </w:r>
      <w:r>
        <w:rPr>
          <w:rFonts w:ascii="Arial" w:hAnsi="Arial" w:cs="Arial"/>
        </w:rPr>
        <w:t xml:space="preserve"> </w:t>
      </w:r>
      <w:r w:rsidRPr="00FB0853">
        <w:rPr>
          <w:rFonts w:ascii="Arial" w:hAnsi="Arial" w:cs="Arial"/>
          <w:sz w:val="18"/>
        </w:rPr>
        <w:t>Reference: The Institute of Internal Auditors</w:t>
      </w:r>
    </w:p>
  </w:footnote>
  <w:footnote w:id="3">
    <w:p w:rsidR="009B30E0" w:rsidRDefault="009B30E0" w:rsidP="009B30E0">
      <w:pPr>
        <w:pStyle w:val="FootnoteText"/>
      </w:pPr>
      <w:r>
        <w:rPr>
          <w:rStyle w:val="FootnoteReference"/>
        </w:rPr>
        <w:footnoteRef/>
      </w:r>
      <w:r>
        <w:t xml:space="preserve"> Also known as Finance Risk Tracker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4110F">
    <w:pPr>
      <w:pStyle w:val="Header"/>
    </w:pPr>
    <w:r>
      <w:rPr>
        <w:noProof/>
      </w:rPr>
      <w:drawing>
        <wp:anchor distT="0" distB="0" distL="114300" distR="114300" simplePos="0" relativeHeight="251740160" behindDoc="0" locked="0" layoutInCell="1" allowOverlap="1" wp14:anchorId="2EFEE119" wp14:editId="030E5793">
          <wp:simplePos x="0" y="0"/>
          <wp:positionH relativeFrom="page">
            <wp:posOffset>360045</wp:posOffset>
          </wp:positionH>
          <wp:positionV relativeFrom="page">
            <wp:posOffset>540385</wp:posOffset>
          </wp:positionV>
          <wp:extent cx="2340000" cy="295158"/>
          <wp:effectExtent l="0" t="0" r="0" b="1016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pPr>
      <w:pStyle w:val="Header"/>
    </w:pPr>
    <w:r>
      <w:rPr>
        <w:noProof/>
      </w:rPr>
      <w:drawing>
        <wp:anchor distT="0" distB="0" distL="114300" distR="114300" simplePos="0" relativeHeight="251708416" behindDoc="0" locked="0" layoutInCell="1" allowOverlap="1" wp14:anchorId="1DCCB58C" wp14:editId="646ED23E">
          <wp:simplePos x="0" y="0"/>
          <wp:positionH relativeFrom="page">
            <wp:posOffset>360045</wp:posOffset>
          </wp:positionH>
          <wp:positionV relativeFrom="page">
            <wp:posOffset>540385</wp:posOffset>
          </wp:positionV>
          <wp:extent cx="2340000" cy="295158"/>
          <wp:effectExtent l="0" t="0" r="0" b="10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D9" w:rsidRDefault="00D65FD9" w:rsidP="00703854">
    <w:pPr>
      <w:pStyle w:val="Header"/>
      <w:tabs>
        <w:tab w:val="clear" w:pos="4320"/>
        <w:tab w:val="clear" w:pos="8640"/>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42E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0249A"/>
    <w:multiLevelType w:val="hybridMultilevel"/>
    <w:tmpl w:val="4E0215FA"/>
    <w:lvl w:ilvl="0" w:tplc="F572AC94">
      <w:start w:val="4"/>
      <w:numFmt w:val="bullet"/>
      <w:lvlText w:val=""/>
      <w:lvlJc w:val="left"/>
      <w:pPr>
        <w:ind w:left="1080" w:hanging="360"/>
      </w:pPr>
      <w:rPr>
        <w:rFonts w:ascii="Symbol" w:eastAsia="Arial"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452B4"/>
    <w:multiLevelType w:val="hybridMultilevel"/>
    <w:tmpl w:val="39ACD0AA"/>
    <w:lvl w:ilvl="0" w:tplc="5E84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43CA5"/>
    <w:multiLevelType w:val="hybridMultilevel"/>
    <w:tmpl w:val="701E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4A2648"/>
    <w:multiLevelType w:val="hybridMultilevel"/>
    <w:tmpl w:val="0EE261BA"/>
    <w:lvl w:ilvl="0" w:tplc="19A67B06">
      <w:start w:val="1"/>
      <w:numFmt w:val="lowerLetter"/>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7" w15:restartNumberingAfterBreak="0">
    <w:nsid w:val="10EB2F47"/>
    <w:multiLevelType w:val="hybridMultilevel"/>
    <w:tmpl w:val="D3FADC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10CA3"/>
    <w:multiLevelType w:val="hybridMultilevel"/>
    <w:tmpl w:val="176AA55E"/>
    <w:lvl w:ilvl="0" w:tplc="CD04AA36">
      <w:numFmt w:val="bullet"/>
      <w:lvlText w:val=""/>
      <w:lvlJc w:val="left"/>
      <w:pPr>
        <w:ind w:left="1080" w:hanging="360"/>
      </w:pPr>
      <w:rPr>
        <w:rFonts w:ascii="Symbol" w:eastAsia="Times New Roman" w:hAnsi="Symbol"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5FC2"/>
    <w:multiLevelType w:val="hybridMultilevel"/>
    <w:tmpl w:val="45AA09EE"/>
    <w:lvl w:ilvl="0" w:tplc="42A4F38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0734"/>
    <w:multiLevelType w:val="hybridMultilevel"/>
    <w:tmpl w:val="1438F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34729"/>
    <w:multiLevelType w:val="multilevel"/>
    <w:tmpl w:val="39AC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7D0CD1"/>
    <w:multiLevelType w:val="hybridMultilevel"/>
    <w:tmpl w:val="CCD21DF8"/>
    <w:lvl w:ilvl="0" w:tplc="14F8A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BF1CB9"/>
    <w:multiLevelType w:val="hybridMultilevel"/>
    <w:tmpl w:val="1792A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2E4EFC"/>
    <w:multiLevelType w:val="hybridMultilevel"/>
    <w:tmpl w:val="467C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B136E"/>
    <w:multiLevelType w:val="hybridMultilevel"/>
    <w:tmpl w:val="0B005054"/>
    <w:lvl w:ilvl="0" w:tplc="18469448">
      <w:start w:val="1"/>
      <w:numFmt w:val="lowerLetter"/>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6" w15:restartNumberingAfterBreak="0">
    <w:nsid w:val="4CE81473"/>
    <w:multiLevelType w:val="hybridMultilevel"/>
    <w:tmpl w:val="4390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A2D60"/>
    <w:multiLevelType w:val="hybridMultilevel"/>
    <w:tmpl w:val="BA6EA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B0404"/>
    <w:multiLevelType w:val="hybridMultilevel"/>
    <w:tmpl w:val="FA260B52"/>
    <w:lvl w:ilvl="0" w:tplc="992EE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2642C3"/>
    <w:multiLevelType w:val="hybridMultilevel"/>
    <w:tmpl w:val="F692EAF6"/>
    <w:lvl w:ilvl="0" w:tplc="04090001">
      <w:start w:val="1"/>
      <w:numFmt w:val="bullet"/>
      <w:lvlText w:val=""/>
      <w:lvlJc w:val="left"/>
      <w:pPr>
        <w:ind w:left="501"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D7A4E"/>
    <w:multiLevelType w:val="hybridMultilevel"/>
    <w:tmpl w:val="3668C186"/>
    <w:lvl w:ilvl="0" w:tplc="D4928AFE">
      <w:start w:val="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C139E"/>
    <w:multiLevelType w:val="hybridMultilevel"/>
    <w:tmpl w:val="09AC5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11F32"/>
    <w:multiLevelType w:val="hybridMultilevel"/>
    <w:tmpl w:val="540E209A"/>
    <w:lvl w:ilvl="0" w:tplc="CD04AA36">
      <w:numFmt w:val="bullet"/>
      <w:lvlText w:val=""/>
      <w:lvlJc w:val="left"/>
      <w:pPr>
        <w:ind w:left="1080" w:hanging="360"/>
      </w:pPr>
      <w:rPr>
        <w:rFonts w:ascii="Symbol" w:eastAsia="Times New Roman" w:hAnsi="Symbol" w:cs="Times New Roman" w:hint="default"/>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ED1C9B"/>
    <w:multiLevelType w:val="multilevel"/>
    <w:tmpl w:val="97228074"/>
    <w:name w:val="PwCBulletListTemplate"/>
    <w:lvl w:ilvl="0">
      <w:start w:val="1"/>
      <w:numFmt w:val="bullet"/>
      <w:pStyle w:val="ListBullet"/>
      <w:lvlText w:val=""/>
      <w:lvlJc w:val="left"/>
      <w:pPr>
        <w:tabs>
          <w:tab w:val="num" w:pos="595"/>
        </w:tabs>
        <w:ind w:left="595" w:hanging="595"/>
      </w:pPr>
      <w:rPr>
        <w:rFonts w:ascii="Monotype Sorts" w:hAnsi="Monotype Sorts" w:cs="Monotype Sorts" w:hint="default"/>
        <w:color w:val="auto"/>
        <w:sz w:val="12"/>
        <w:szCs w:val="12"/>
      </w:rPr>
    </w:lvl>
    <w:lvl w:ilvl="1">
      <w:start w:val="1"/>
      <w:numFmt w:val="bullet"/>
      <w:pStyle w:val="ListBullet2"/>
      <w:lvlText w:val=""/>
      <w:lvlJc w:val="left"/>
      <w:pPr>
        <w:tabs>
          <w:tab w:val="num" w:pos="1191"/>
        </w:tabs>
        <w:ind w:left="1191" w:hanging="595"/>
      </w:pPr>
      <w:rPr>
        <w:rFonts w:ascii="Symbol" w:hAnsi="Symbol" w:cs="Symbol" w:hint="default"/>
        <w:sz w:val="20"/>
        <w:szCs w:val="20"/>
      </w:rPr>
    </w:lvl>
    <w:lvl w:ilvl="2">
      <w:start w:val="1"/>
      <w:numFmt w:val="bullet"/>
      <w:pStyle w:val="ListBullet3"/>
      <w:lvlText w:val=""/>
      <w:lvlJc w:val="left"/>
      <w:pPr>
        <w:tabs>
          <w:tab w:val="num" w:pos="1786"/>
        </w:tabs>
        <w:ind w:left="1786" w:hanging="595"/>
      </w:pPr>
      <w:rPr>
        <w:rFonts w:ascii="Monotype Sorts" w:hAnsi="Monotype Sorts" w:cs="Monotype Sorts" w:hint="default"/>
        <w:position w:val="4"/>
        <w:sz w:val="12"/>
        <w:szCs w:val="12"/>
      </w:rPr>
    </w:lvl>
    <w:lvl w:ilvl="3">
      <w:start w:val="1"/>
      <w:numFmt w:val="bullet"/>
      <w:pStyle w:val="ListBullet4"/>
      <w:lvlText w:val=""/>
      <w:lvlJc w:val="left"/>
      <w:pPr>
        <w:tabs>
          <w:tab w:val="num" w:pos="2381"/>
        </w:tabs>
        <w:ind w:left="2381" w:hanging="595"/>
      </w:pPr>
      <w:rPr>
        <w:rFonts w:ascii="Symbol" w:hAnsi="Symbol" w:cs="Symbol" w:hint="default"/>
        <w:position w:val="-6"/>
        <w:sz w:val="28"/>
        <w:szCs w:val="28"/>
      </w:rPr>
    </w:lvl>
    <w:lvl w:ilvl="4">
      <w:start w:val="1"/>
      <w:numFmt w:val="bullet"/>
      <w:pStyle w:val="ListBullet5"/>
      <w:lvlText w:val=""/>
      <w:lvlJc w:val="left"/>
      <w:pPr>
        <w:tabs>
          <w:tab w:val="num" w:pos="2976"/>
        </w:tabs>
        <w:ind w:left="2976" w:hanging="595"/>
      </w:pPr>
      <w:rPr>
        <w:rFonts w:ascii="Monotype Sorts" w:hAnsi="Monotype Sorts" w:cs="Monotype Sorts" w:hint="default"/>
        <w:color w:val="auto"/>
        <w:sz w:val="12"/>
        <w:szCs w:val="12"/>
      </w:rPr>
    </w:lvl>
    <w:lvl w:ilvl="5">
      <w:start w:val="1"/>
      <w:numFmt w:val="bullet"/>
      <w:lvlText w:val="§"/>
      <w:lvlJc w:val="left"/>
      <w:pPr>
        <w:tabs>
          <w:tab w:val="num" w:pos="3572"/>
        </w:tabs>
        <w:ind w:left="3572" w:hanging="595"/>
      </w:pPr>
      <w:rPr>
        <w:rFonts w:ascii="Wingdings" w:hAnsi="Wingdings" w:cs="Wingdings" w:hint="default"/>
        <w:sz w:val="18"/>
        <w:szCs w:val="18"/>
      </w:rPr>
    </w:lvl>
    <w:lvl w:ilvl="6">
      <w:start w:val="1"/>
      <w:numFmt w:val="bullet"/>
      <w:lvlText w:val="§"/>
      <w:lvlJc w:val="left"/>
      <w:pPr>
        <w:tabs>
          <w:tab w:val="num" w:pos="4167"/>
        </w:tabs>
        <w:ind w:left="4167" w:hanging="595"/>
      </w:pPr>
      <w:rPr>
        <w:rFonts w:ascii="Wingdings" w:hAnsi="Wingdings" w:cs="Wingdings" w:hint="default"/>
        <w:sz w:val="18"/>
        <w:szCs w:val="18"/>
      </w:rPr>
    </w:lvl>
    <w:lvl w:ilvl="7">
      <w:start w:val="1"/>
      <w:numFmt w:val="bullet"/>
      <w:lvlText w:val="§"/>
      <w:lvlJc w:val="left"/>
      <w:pPr>
        <w:tabs>
          <w:tab w:val="num" w:pos="4762"/>
        </w:tabs>
        <w:ind w:left="4762" w:hanging="595"/>
      </w:pPr>
      <w:rPr>
        <w:rFonts w:ascii="Wingdings" w:hAnsi="Wingdings" w:cs="Wingdings" w:hint="default"/>
        <w:sz w:val="18"/>
        <w:szCs w:val="18"/>
      </w:rPr>
    </w:lvl>
    <w:lvl w:ilvl="8">
      <w:start w:val="1"/>
      <w:numFmt w:val="bullet"/>
      <w:lvlText w:val="§"/>
      <w:lvlJc w:val="left"/>
      <w:pPr>
        <w:tabs>
          <w:tab w:val="num" w:pos="4762"/>
        </w:tabs>
        <w:ind w:left="4762" w:hanging="595"/>
      </w:pPr>
      <w:rPr>
        <w:rFonts w:ascii="Wingdings" w:hAnsi="Wingdings" w:cs="Wingdings" w:hint="default"/>
        <w:sz w:val="18"/>
        <w:szCs w:val="18"/>
      </w:rPr>
    </w:lvl>
  </w:abstractNum>
  <w:num w:numId="1">
    <w:abstractNumId w:val="2"/>
  </w:num>
  <w:num w:numId="2">
    <w:abstractNumId w:val="20"/>
  </w:num>
  <w:num w:numId="3">
    <w:abstractNumId w:val="3"/>
  </w:num>
  <w:num w:numId="4">
    <w:abstractNumId w:val="0"/>
  </w:num>
  <w:num w:numId="5">
    <w:abstractNumId w:val="4"/>
  </w:num>
  <w:num w:numId="6">
    <w:abstractNumId w:val="11"/>
  </w:num>
  <w:num w:numId="7">
    <w:abstractNumId w:val="10"/>
  </w:num>
  <w:num w:numId="8">
    <w:abstractNumId w:val="18"/>
  </w:num>
  <w:num w:numId="9">
    <w:abstractNumId w:val="12"/>
  </w:num>
  <w:num w:numId="10">
    <w:abstractNumId w:val="24"/>
  </w:num>
  <w:num w:numId="11">
    <w:abstractNumId w:val="5"/>
  </w:num>
  <w:num w:numId="12">
    <w:abstractNumId w:val="13"/>
  </w:num>
  <w:num w:numId="13">
    <w:abstractNumId w:val="19"/>
  </w:num>
  <w:num w:numId="14">
    <w:abstractNumId w:val="23"/>
  </w:num>
  <w:num w:numId="15">
    <w:abstractNumId w:val="14"/>
  </w:num>
  <w:num w:numId="16">
    <w:abstractNumId w:val="8"/>
  </w:num>
  <w:num w:numId="17">
    <w:abstractNumId w:val="22"/>
  </w:num>
  <w:num w:numId="18">
    <w:abstractNumId w:val="1"/>
  </w:num>
  <w:num w:numId="19">
    <w:abstractNumId w:val="17"/>
  </w:num>
  <w:num w:numId="20">
    <w:abstractNumId w:val="21"/>
  </w:num>
  <w:num w:numId="21">
    <w:abstractNumId w:val="15"/>
  </w:num>
  <w:num w:numId="22">
    <w:abstractNumId w:val="6"/>
  </w:num>
  <w:num w:numId="23">
    <w:abstractNumId w:val="7"/>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NjOzsDQ3MDcwMjRW0lEKTi0uzszPAykwrQUAN7QpciwAAAA="/>
  </w:docVars>
  <w:rsids>
    <w:rsidRoot w:val="00F03561"/>
    <w:rsid w:val="00016E4A"/>
    <w:rsid w:val="000323D7"/>
    <w:rsid w:val="000417CF"/>
    <w:rsid w:val="00046DBC"/>
    <w:rsid w:val="000605B3"/>
    <w:rsid w:val="000618C2"/>
    <w:rsid w:val="00095619"/>
    <w:rsid w:val="000A0028"/>
    <w:rsid w:val="000A053F"/>
    <w:rsid w:val="000B20A2"/>
    <w:rsid w:val="000B22FD"/>
    <w:rsid w:val="000C09BC"/>
    <w:rsid w:val="000D1E01"/>
    <w:rsid w:val="000D54B7"/>
    <w:rsid w:val="000D79C3"/>
    <w:rsid w:val="00110FA9"/>
    <w:rsid w:val="00115946"/>
    <w:rsid w:val="00142893"/>
    <w:rsid w:val="00145D60"/>
    <w:rsid w:val="0015033F"/>
    <w:rsid w:val="00163AD0"/>
    <w:rsid w:val="0019690E"/>
    <w:rsid w:val="001C500A"/>
    <w:rsid w:val="001E4390"/>
    <w:rsid w:val="001F0CEE"/>
    <w:rsid w:val="001F45CF"/>
    <w:rsid w:val="001F53F3"/>
    <w:rsid w:val="002033FF"/>
    <w:rsid w:val="00206D17"/>
    <w:rsid w:val="00225F8D"/>
    <w:rsid w:val="0023266B"/>
    <w:rsid w:val="00273236"/>
    <w:rsid w:val="00280D20"/>
    <w:rsid w:val="002B36A7"/>
    <w:rsid w:val="002B7A7F"/>
    <w:rsid w:val="002D449E"/>
    <w:rsid w:val="002F1A8D"/>
    <w:rsid w:val="002F3DCC"/>
    <w:rsid w:val="002F67D9"/>
    <w:rsid w:val="00304A29"/>
    <w:rsid w:val="00315316"/>
    <w:rsid w:val="003160C0"/>
    <w:rsid w:val="00324792"/>
    <w:rsid w:val="00330CDA"/>
    <w:rsid w:val="00331AD1"/>
    <w:rsid w:val="003364AA"/>
    <w:rsid w:val="00354493"/>
    <w:rsid w:val="003610F6"/>
    <w:rsid w:val="00370526"/>
    <w:rsid w:val="00382D2D"/>
    <w:rsid w:val="003B6B68"/>
    <w:rsid w:val="003C541F"/>
    <w:rsid w:val="003D5881"/>
    <w:rsid w:val="003E08B3"/>
    <w:rsid w:val="003F2A6D"/>
    <w:rsid w:val="003F7284"/>
    <w:rsid w:val="00402DFE"/>
    <w:rsid w:val="00444883"/>
    <w:rsid w:val="004448C7"/>
    <w:rsid w:val="004475D7"/>
    <w:rsid w:val="004514A2"/>
    <w:rsid w:val="00453253"/>
    <w:rsid w:val="004533FF"/>
    <w:rsid w:val="004604A2"/>
    <w:rsid w:val="004854C3"/>
    <w:rsid w:val="004C080D"/>
    <w:rsid w:val="004D358E"/>
    <w:rsid w:val="004D3790"/>
    <w:rsid w:val="004D3858"/>
    <w:rsid w:val="004D3C67"/>
    <w:rsid w:val="004F34E1"/>
    <w:rsid w:val="005271A6"/>
    <w:rsid w:val="0056568D"/>
    <w:rsid w:val="005D45D0"/>
    <w:rsid w:val="005D51A5"/>
    <w:rsid w:val="005E2030"/>
    <w:rsid w:val="005F5F8F"/>
    <w:rsid w:val="006209E6"/>
    <w:rsid w:val="00623711"/>
    <w:rsid w:val="006314EA"/>
    <w:rsid w:val="0066141B"/>
    <w:rsid w:val="00662091"/>
    <w:rsid w:val="006A2238"/>
    <w:rsid w:val="006B3E0F"/>
    <w:rsid w:val="006D332F"/>
    <w:rsid w:val="006F700A"/>
    <w:rsid w:val="00703854"/>
    <w:rsid w:val="007159EB"/>
    <w:rsid w:val="007514B2"/>
    <w:rsid w:val="00752306"/>
    <w:rsid w:val="00762E77"/>
    <w:rsid w:val="007764B8"/>
    <w:rsid w:val="007E4A24"/>
    <w:rsid w:val="007F2537"/>
    <w:rsid w:val="00815D7B"/>
    <w:rsid w:val="00820321"/>
    <w:rsid w:val="00842D8D"/>
    <w:rsid w:val="0086219B"/>
    <w:rsid w:val="00862D08"/>
    <w:rsid w:val="00877C32"/>
    <w:rsid w:val="008A0FCF"/>
    <w:rsid w:val="008B436E"/>
    <w:rsid w:val="008E49FF"/>
    <w:rsid w:val="008E776C"/>
    <w:rsid w:val="00942880"/>
    <w:rsid w:val="0094486A"/>
    <w:rsid w:val="009568D7"/>
    <w:rsid w:val="00992B89"/>
    <w:rsid w:val="009A5AB2"/>
    <w:rsid w:val="009B30E0"/>
    <w:rsid w:val="009D4DBA"/>
    <w:rsid w:val="009E6394"/>
    <w:rsid w:val="00A013E2"/>
    <w:rsid w:val="00A22E45"/>
    <w:rsid w:val="00A23D12"/>
    <w:rsid w:val="00A63CF6"/>
    <w:rsid w:val="00A701FD"/>
    <w:rsid w:val="00A71970"/>
    <w:rsid w:val="00A811B6"/>
    <w:rsid w:val="00A82F65"/>
    <w:rsid w:val="00A83559"/>
    <w:rsid w:val="00AA1068"/>
    <w:rsid w:val="00AC47D9"/>
    <w:rsid w:val="00B4457A"/>
    <w:rsid w:val="00B459C2"/>
    <w:rsid w:val="00B5415F"/>
    <w:rsid w:val="00B97A77"/>
    <w:rsid w:val="00BA6255"/>
    <w:rsid w:val="00BA6D2C"/>
    <w:rsid w:val="00BA6F37"/>
    <w:rsid w:val="00BC341C"/>
    <w:rsid w:val="00BE22A1"/>
    <w:rsid w:val="00C236CD"/>
    <w:rsid w:val="00C23B4E"/>
    <w:rsid w:val="00C660E4"/>
    <w:rsid w:val="00C82756"/>
    <w:rsid w:val="00C87A91"/>
    <w:rsid w:val="00CD468C"/>
    <w:rsid w:val="00CE3790"/>
    <w:rsid w:val="00D4110F"/>
    <w:rsid w:val="00D54905"/>
    <w:rsid w:val="00D65FD9"/>
    <w:rsid w:val="00D67327"/>
    <w:rsid w:val="00DB2F04"/>
    <w:rsid w:val="00DC218E"/>
    <w:rsid w:val="00DC6F04"/>
    <w:rsid w:val="00DD7D3E"/>
    <w:rsid w:val="00DE2F0D"/>
    <w:rsid w:val="00E00EDE"/>
    <w:rsid w:val="00E13748"/>
    <w:rsid w:val="00E2508C"/>
    <w:rsid w:val="00E25AD3"/>
    <w:rsid w:val="00E31C1B"/>
    <w:rsid w:val="00E46AD0"/>
    <w:rsid w:val="00E71711"/>
    <w:rsid w:val="00E77018"/>
    <w:rsid w:val="00E83093"/>
    <w:rsid w:val="00E83DFD"/>
    <w:rsid w:val="00EB0223"/>
    <w:rsid w:val="00EC070F"/>
    <w:rsid w:val="00ED23B9"/>
    <w:rsid w:val="00EF1B5F"/>
    <w:rsid w:val="00F03561"/>
    <w:rsid w:val="00F1077B"/>
    <w:rsid w:val="00F31827"/>
    <w:rsid w:val="00F45B07"/>
    <w:rsid w:val="00F67C5B"/>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8F6F163-44B1-4D88-B2F5-1C66DDBD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341C"/>
    <w:rPr>
      <w:rFonts w:ascii="Georgia" w:hAnsi="Georgia"/>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DDDDDD" w:themeColor="accent1"/>
    </w:rPr>
  </w:style>
  <w:style w:type="paragraph" w:styleId="Title">
    <w:name w:val="Title"/>
    <w:basedOn w:val="Normal"/>
    <w:next w:val="Normal"/>
    <w:link w:val="TitleChar"/>
    <w:uiPriority w:val="10"/>
    <w:qFormat/>
    <w:rsid w:val="00EC070F"/>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000000"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5F5F5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qFormat/>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FootnoteText">
    <w:name w:val="footnote text"/>
    <w:basedOn w:val="Normal"/>
    <w:link w:val="FootnoteTextChar"/>
    <w:uiPriority w:val="99"/>
    <w:semiHidden/>
    <w:unhideWhenUsed/>
    <w:rsid w:val="005E2030"/>
    <w:rPr>
      <w:sz w:val="20"/>
      <w:szCs w:val="20"/>
    </w:rPr>
  </w:style>
  <w:style w:type="character" w:customStyle="1" w:styleId="FootnoteTextChar">
    <w:name w:val="Footnote Text Char"/>
    <w:basedOn w:val="DefaultParagraphFont"/>
    <w:link w:val="FootnoteText"/>
    <w:uiPriority w:val="99"/>
    <w:semiHidden/>
    <w:rsid w:val="005E2030"/>
    <w:rPr>
      <w:rFonts w:ascii="Georgia" w:hAnsi="Georgia"/>
      <w:sz w:val="20"/>
      <w:szCs w:val="20"/>
    </w:rPr>
  </w:style>
  <w:style w:type="character" w:styleId="FootnoteReference">
    <w:name w:val="footnote reference"/>
    <w:basedOn w:val="DefaultParagraphFont"/>
    <w:uiPriority w:val="99"/>
    <w:unhideWhenUsed/>
    <w:rsid w:val="005E2030"/>
    <w:rPr>
      <w:vertAlign w:val="superscript"/>
    </w:rPr>
  </w:style>
  <w:style w:type="paragraph" w:styleId="ListParagraph">
    <w:name w:val="List Paragraph"/>
    <w:basedOn w:val="Normal"/>
    <w:link w:val="ListParagraphChar"/>
    <w:uiPriority w:val="34"/>
    <w:qFormat/>
    <w:rsid w:val="001F45CF"/>
    <w:pPr>
      <w:ind w:left="720"/>
      <w:contextualSpacing/>
    </w:pPr>
  </w:style>
  <w:style w:type="table" w:styleId="TableGrid">
    <w:name w:val="Table Grid"/>
    <w:basedOn w:val="TableNormal"/>
    <w:uiPriority w:val="39"/>
    <w:rsid w:val="001F45CF"/>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F45CF"/>
    <w:pPr>
      <w:numPr>
        <w:numId w:val="10"/>
      </w:numPr>
      <w:spacing w:after="290" w:line="290" w:lineRule="atLeast"/>
    </w:pPr>
    <w:rPr>
      <w:rFonts w:ascii="Arial" w:eastAsia="Times New Roman" w:hAnsi="Arial" w:cs="Arial"/>
      <w:lang w:val="en-GB"/>
    </w:rPr>
  </w:style>
  <w:style w:type="paragraph" w:styleId="ListBullet2">
    <w:name w:val="List Bullet 2"/>
    <w:basedOn w:val="Normal"/>
    <w:uiPriority w:val="99"/>
    <w:semiHidden/>
    <w:unhideWhenUsed/>
    <w:rsid w:val="001F45CF"/>
    <w:pPr>
      <w:numPr>
        <w:ilvl w:val="1"/>
        <w:numId w:val="10"/>
      </w:numPr>
      <w:spacing w:after="290" w:line="290" w:lineRule="atLeast"/>
    </w:pPr>
    <w:rPr>
      <w:rFonts w:ascii="Arial" w:eastAsia="Times New Roman" w:hAnsi="Arial" w:cs="Arial"/>
      <w:lang w:val="en-GB"/>
    </w:rPr>
  </w:style>
  <w:style w:type="paragraph" w:styleId="ListBullet3">
    <w:name w:val="List Bullet 3"/>
    <w:basedOn w:val="Normal"/>
    <w:uiPriority w:val="99"/>
    <w:semiHidden/>
    <w:unhideWhenUsed/>
    <w:rsid w:val="001F45CF"/>
    <w:pPr>
      <w:numPr>
        <w:ilvl w:val="2"/>
        <w:numId w:val="10"/>
      </w:numPr>
      <w:spacing w:after="290" w:line="290" w:lineRule="atLeast"/>
    </w:pPr>
    <w:rPr>
      <w:rFonts w:ascii="Arial" w:eastAsia="Times New Roman" w:hAnsi="Arial" w:cs="Arial"/>
      <w:lang w:val="en-GB"/>
    </w:rPr>
  </w:style>
  <w:style w:type="paragraph" w:styleId="ListBullet4">
    <w:name w:val="List Bullet 4"/>
    <w:basedOn w:val="Normal"/>
    <w:uiPriority w:val="99"/>
    <w:semiHidden/>
    <w:unhideWhenUsed/>
    <w:rsid w:val="001F45CF"/>
    <w:pPr>
      <w:numPr>
        <w:ilvl w:val="3"/>
        <w:numId w:val="10"/>
      </w:numPr>
      <w:spacing w:after="290" w:line="290" w:lineRule="atLeast"/>
    </w:pPr>
    <w:rPr>
      <w:rFonts w:ascii="Arial" w:eastAsia="Times New Roman" w:hAnsi="Arial" w:cs="Arial"/>
      <w:lang w:val="en-GB"/>
    </w:rPr>
  </w:style>
  <w:style w:type="paragraph" w:styleId="ListBullet5">
    <w:name w:val="List Bullet 5"/>
    <w:basedOn w:val="Normal"/>
    <w:uiPriority w:val="99"/>
    <w:semiHidden/>
    <w:unhideWhenUsed/>
    <w:rsid w:val="001F45CF"/>
    <w:pPr>
      <w:numPr>
        <w:ilvl w:val="4"/>
        <w:numId w:val="10"/>
      </w:numPr>
      <w:tabs>
        <w:tab w:val="clear" w:pos="2976"/>
      </w:tabs>
      <w:spacing w:after="290" w:line="290" w:lineRule="atLeast"/>
      <w:ind w:left="3600" w:hanging="360"/>
    </w:pPr>
    <w:rPr>
      <w:rFonts w:ascii="Arial" w:eastAsia="Times New Roman" w:hAnsi="Arial" w:cs="Arial"/>
      <w:lang w:val="en-GB"/>
    </w:rPr>
  </w:style>
  <w:style w:type="character" w:customStyle="1" w:styleId="ListParagraphChar">
    <w:name w:val="List Paragraph Char"/>
    <w:basedOn w:val="DefaultParagraphFont"/>
    <w:link w:val="ListParagraph"/>
    <w:uiPriority w:val="34"/>
    <w:locked/>
    <w:rsid w:val="001F45CF"/>
    <w:rPr>
      <w:rFonts w:ascii="Georgia" w:hAnsi="Georgia"/>
      <w:sz w:val="22"/>
    </w:rPr>
  </w:style>
  <w:style w:type="table" w:styleId="GridTable5Dark-Accent1">
    <w:name w:val="Grid Table 5 Dark Accent 1"/>
    <w:basedOn w:val="TableNormal"/>
    <w:uiPriority w:val="50"/>
    <w:rsid w:val="000A05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paragraph" w:styleId="CommentText">
    <w:name w:val="annotation text"/>
    <w:basedOn w:val="Normal"/>
    <w:link w:val="CommentTextChar"/>
    <w:uiPriority w:val="99"/>
    <w:semiHidden/>
    <w:unhideWhenUsed/>
    <w:rsid w:val="009B30E0"/>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9B30E0"/>
    <w:rPr>
      <w:rFonts w:ascii="Georgia" w:eastAsiaTheme="minorHAnsi"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theglobalfund.org/media/7034/financial_grantimplementersmanagement_handbook_en.pdf?u=636917015610000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heglobalfund.org/media/7034/financial_grantimplementersmanagement_handbook_en.pdf?u=63691701561000000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5D5D551523A4FAE72FD6306649C1C" ma:contentTypeVersion="22" ma:contentTypeDescription="Create a new document." ma:contentTypeScope="" ma:versionID="28d1fe2a267155e8a42de085228b9312">
  <xsd:schema xmlns:xsd="http://www.w3.org/2001/XMLSchema" xmlns:xs="http://www.w3.org/2001/XMLSchema" xmlns:p="http://schemas.microsoft.com/office/2006/metadata/properties" xmlns:ns2="995894c9-72ea-4222-a501-a132a8964273" xmlns:ns3="c099bcc4-20d6-4808-9c6f-fa4a8808b107" targetNamespace="http://schemas.microsoft.com/office/2006/metadata/properties" ma:root="true" ma:fieldsID="e5db02bebbbc49692693b0575e3ecb9f" ns2:_="" ns3:_="">
    <xsd:import namespace="995894c9-72ea-4222-a501-a132a8964273"/>
    <xsd:import namespace="c099bcc4-20d6-4808-9c6f-fa4a8808b1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894c9-72ea-4222-a501-a132a89642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9bcc4-20d6-4808-9c6f-fa4a8808b1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6A42-E676-4583-83C7-928963A093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3A39AB-D25E-4247-997E-3ABAD893ECB7}">
  <ds:schemaRefs>
    <ds:schemaRef ds:uri="http://schemas.microsoft.com/sharepoint/v3/contenttype/forms"/>
  </ds:schemaRefs>
</ds:datastoreItem>
</file>

<file path=customXml/itemProps3.xml><?xml version="1.0" encoding="utf-8"?>
<ds:datastoreItem xmlns:ds="http://schemas.openxmlformats.org/officeDocument/2006/customXml" ds:itemID="{04281E3A-F38C-456D-A8B7-C60C3F00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894c9-72ea-4222-a501-a132a8964273"/>
    <ds:schemaRef ds:uri="c099bcc4-20d6-4808-9c6f-fa4a8808b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F5B10-73D2-4471-86E3-F750D54D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1347</Words>
  <Characters>7682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2014-12-17T22:46:00Z</cp:lastPrinted>
  <dcterms:created xsi:type="dcterms:W3CDTF">2020-02-06T07:59:00Z</dcterms:created>
  <dcterms:modified xsi:type="dcterms:W3CDTF">2020-02-06T08:02:00Z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0x0101006105D5D551523A4FAE72FD6306649C1C</vt:lpwstr>
  </property>
</Properties>
</file>