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5539" w14:textId="77777777" w:rsidR="003D76B2" w:rsidRDefault="003D76B2" w:rsidP="003D76B2">
      <w:pPr>
        <w:rPr>
          <w:rFonts w:eastAsia="Arial" w:cs="Arial"/>
          <w:b/>
          <w:bCs/>
          <w:sz w:val="36"/>
          <w:szCs w:val="36"/>
        </w:rPr>
      </w:pPr>
    </w:p>
    <w:p w14:paraId="0785432F" w14:textId="0F82DD4C" w:rsidR="003D76B2" w:rsidRPr="003D76B2" w:rsidRDefault="003D76B2" w:rsidP="003D76B2">
      <w:pPr>
        <w:rPr>
          <w:rFonts w:asciiTheme="majorHAnsi" w:eastAsia="Arial" w:hAnsiTheme="majorHAnsi" w:cs="Arial"/>
          <w:b/>
          <w:bCs/>
          <w:sz w:val="36"/>
          <w:szCs w:val="36"/>
        </w:rPr>
      </w:pPr>
      <w:r w:rsidRPr="003D76B2">
        <w:rPr>
          <w:rFonts w:asciiTheme="majorHAnsi" w:eastAsia="Arial" w:hAnsiTheme="majorHAnsi" w:cs="Arial"/>
          <w:b/>
          <w:bCs/>
          <w:sz w:val="36"/>
          <w:szCs w:val="36"/>
        </w:rPr>
        <w:t>LFA VERIFICATION OF HEALTH PRODUCT EXPIRIES</w:t>
      </w:r>
    </w:p>
    <w:p w14:paraId="605750E8" w14:textId="12116D9A" w:rsidR="007A450B" w:rsidRDefault="003D76B2" w:rsidP="00E81AC0">
      <w:r>
        <w:t>March 2023</w:t>
      </w:r>
    </w:p>
    <w:p w14:paraId="346A46A1" w14:textId="77777777" w:rsidR="003D76B2" w:rsidRDefault="003D76B2" w:rsidP="003D76B2">
      <w:pPr>
        <w:rPr>
          <w:rFonts w:eastAsia="Arial" w:cs="Arial"/>
          <w:b/>
          <w:bCs/>
          <w:sz w:val="28"/>
          <w:szCs w:val="28"/>
        </w:rPr>
      </w:pPr>
    </w:p>
    <w:p w14:paraId="6C245BF6" w14:textId="77777777" w:rsidR="003D76B2" w:rsidRPr="00151515" w:rsidRDefault="003D76B2" w:rsidP="003D76B2">
      <w:pPr>
        <w:rPr>
          <w:rFonts w:eastAsia="Arial" w:cs="Arial"/>
          <w:b/>
          <w:bCs/>
        </w:rPr>
      </w:pPr>
      <w:r w:rsidRPr="00151515">
        <w:rPr>
          <w:rFonts w:eastAsia="Arial" w:cs="Arial"/>
          <w:b/>
          <w:bCs/>
        </w:rPr>
        <w:t>INTRODUCTION</w:t>
      </w:r>
    </w:p>
    <w:p w14:paraId="49E8E587" w14:textId="77777777" w:rsidR="003D76B2" w:rsidRDefault="003D76B2" w:rsidP="003D76B2">
      <w:pPr>
        <w:spacing w:after="0" w:line="240" w:lineRule="atLeast"/>
        <w:jc w:val="both"/>
        <w:rPr>
          <w:rFonts w:cs="Arial"/>
        </w:rPr>
      </w:pPr>
      <w:r w:rsidRPr="001A45FF">
        <w:rPr>
          <w:rFonts w:cs="Arial"/>
        </w:rPr>
        <w:t xml:space="preserve">Since the start of the pandemic in 2020, a significant volume of COVID-19 health products including diagnostics and personal protective equipment (PPE), have been supplied into national and community health systems, with just over $2 billion (~60%) of the C19RM spend anticipated to go towards health products and a further 5.1% earmarked towards strengthening of health product and waste management systems </w:t>
      </w:r>
      <w:r w:rsidRPr="003D7315">
        <w:rPr>
          <w:vertAlign w:val="superscript"/>
        </w:rPr>
        <w:footnoteReference w:id="1"/>
      </w:r>
      <w:r w:rsidRPr="001A45FF">
        <w:rPr>
          <w:rFonts w:cs="Arial"/>
        </w:rPr>
        <w:t xml:space="preserve">. While timely actions were of the essence at the beginning of the pandemic response, volatile situations including upstream supply availability, long </w:t>
      </w:r>
      <w:r w:rsidRPr="006F487B">
        <w:rPr>
          <w:rFonts w:cs="Arial"/>
        </w:rPr>
        <w:t>lead times, freight space constraints, changing country priorities, as well as challenging demand forecasting due to cyclical nature of the COVID-19 waves of infection, may have caused a mismatch of demand and supply across the health systems – from central to community levels.</w:t>
      </w:r>
      <w:r w:rsidRPr="001A45FF">
        <w:rPr>
          <w:rFonts w:cs="Arial"/>
        </w:rPr>
        <w:t xml:space="preserve"> </w:t>
      </w:r>
    </w:p>
    <w:p w14:paraId="06BA3AF2" w14:textId="77777777" w:rsidR="003D76B2" w:rsidRPr="001A45FF" w:rsidRDefault="003D76B2" w:rsidP="003D76B2">
      <w:pPr>
        <w:spacing w:after="0" w:line="240" w:lineRule="atLeast"/>
        <w:jc w:val="both"/>
        <w:rPr>
          <w:rFonts w:cs="Arial"/>
        </w:rPr>
      </w:pPr>
    </w:p>
    <w:p w14:paraId="317413A8" w14:textId="07B0C283" w:rsidR="003D76B2" w:rsidRDefault="003D76B2" w:rsidP="003D76B2">
      <w:pPr>
        <w:spacing w:after="0" w:line="240" w:lineRule="auto"/>
        <w:jc w:val="both"/>
        <w:rPr>
          <w:rFonts w:cs="Arial"/>
        </w:rPr>
      </w:pPr>
      <w:r w:rsidRPr="1DAE747C">
        <w:rPr>
          <w:rFonts w:cs="Arial"/>
        </w:rPr>
        <w:t xml:space="preserve">Routine resupply of core health products for HIV, </w:t>
      </w:r>
      <w:proofErr w:type="gramStart"/>
      <w:r w:rsidRPr="1DAE747C">
        <w:rPr>
          <w:rFonts w:cs="Arial"/>
        </w:rPr>
        <w:t>TB</w:t>
      </w:r>
      <w:proofErr w:type="gramEnd"/>
      <w:r w:rsidRPr="1DAE747C">
        <w:rPr>
          <w:rFonts w:cs="Arial"/>
        </w:rPr>
        <w:t xml:space="preserve"> and malaria, has also been disrupted with afore mentioned global supply chain challenges, putting immense pressures on national supply chain systems to effectively govern, store, distribute and monitor the use of these health products while building up appropriate levels of strategic inventory. Despite these best efforts, the pressure on many supply chains that still had to process new products introduction and regimen transition continued to intensify, with multiple systems facing a growing threat of expiries of health products, including PPE, SARS-CoV-2 diagnostics but also key health products to prevent and treat HIV, </w:t>
      </w:r>
      <w:proofErr w:type="gramStart"/>
      <w:r w:rsidRPr="1DAE747C">
        <w:rPr>
          <w:rFonts w:cs="Arial"/>
        </w:rPr>
        <w:t>TB</w:t>
      </w:r>
      <w:proofErr w:type="gramEnd"/>
      <w:r w:rsidRPr="1DAE747C">
        <w:rPr>
          <w:rFonts w:cs="Arial"/>
        </w:rPr>
        <w:t xml:space="preserve"> and Malaria. </w:t>
      </w:r>
    </w:p>
    <w:p w14:paraId="4D22E148" w14:textId="77777777" w:rsidR="003D76B2" w:rsidRDefault="003D76B2" w:rsidP="003D76B2">
      <w:pPr>
        <w:spacing w:after="0" w:line="240" w:lineRule="auto"/>
        <w:jc w:val="both"/>
        <w:rPr>
          <w:rFonts w:cs="Arial"/>
        </w:rPr>
      </w:pPr>
    </w:p>
    <w:p w14:paraId="4E296B69" w14:textId="685DA87A" w:rsidR="003D76B2" w:rsidRDefault="003D76B2" w:rsidP="003D76B2">
      <w:pPr>
        <w:spacing w:after="0" w:line="240" w:lineRule="auto"/>
        <w:jc w:val="both"/>
        <w:rPr>
          <w:rFonts w:cs="Arial"/>
        </w:rPr>
      </w:pPr>
      <w:r w:rsidRPr="1DAE747C">
        <w:rPr>
          <w:rFonts w:cs="Arial"/>
        </w:rPr>
        <w:t>This guidance note has been developed to guide Country Teams (CTs), and Local Fund Agents (LFAs) in the development of appropriate assurance Terms of Reference (TOR) for the LFA verification of health products expired or at risk of expiry.</w:t>
      </w:r>
    </w:p>
    <w:p w14:paraId="260A7656" w14:textId="250EBB3C" w:rsidR="003D76B2" w:rsidRDefault="003D76B2" w:rsidP="003D76B2">
      <w:pPr>
        <w:spacing w:after="0"/>
        <w:rPr>
          <w:rFonts w:eastAsia="Arial" w:cs="Arial"/>
        </w:rPr>
      </w:pPr>
    </w:p>
    <w:p w14:paraId="4131A7EA" w14:textId="2903A1E9" w:rsidR="003D76B2" w:rsidRDefault="003D76B2" w:rsidP="003D76B2">
      <w:pPr>
        <w:spacing w:after="0"/>
        <w:rPr>
          <w:rFonts w:eastAsia="Arial" w:cs="Arial"/>
        </w:rPr>
      </w:pPr>
    </w:p>
    <w:p w14:paraId="0B6742B0" w14:textId="137601A7" w:rsidR="003D76B2" w:rsidRDefault="003D76B2" w:rsidP="003D76B2">
      <w:pPr>
        <w:spacing w:after="0"/>
        <w:rPr>
          <w:rFonts w:eastAsia="Arial" w:cs="Arial"/>
        </w:rPr>
      </w:pPr>
    </w:p>
    <w:p w14:paraId="312A217C" w14:textId="77777777" w:rsidR="003D76B2" w:rsidRDefault="003D76B2" w:rsidP="003D76B2">
      <w:pPr>
        <w:spacing w:after="0"/>
        <w:rPr>
          <w:rFonts w:eastAsia="Arial" w:cs="Arial"/>
        </w:rPr>
      </w:pPr>
    </w:p>
    <w:p w14:paraId="7A6A76E3" w14:textId="77777777" w:rsidR="003D76B2" w:rsidRPr="001A45FF" w:rsidRDefault="003D76B2" w:rsidP="003D76B2">
      <w:pPr>
        <w:spacing w:after="0"/>
        <w:rPr>
          <w:rFonts w:eastAsia="Arial" w:cs="Arial"/>
        </w:rPr>
      </w:pPr>
    </w:p>
    <w:p w14:paraId="615FE4C3" w14:textId="77777777" w:rsidR="003D76B2" w:rsidRDefault="003D76B2" w:rsidP="003D76B2">
      <w:pPr>
        <w:pStyle w:val="ListParagraph"/>
        <w:numPr>
          <w:ilvl w:val="0"/>
          <w:numId w:val="30"/>
        </w:numPr>
        <w:spacing w:after="0" w:line="259" w:lineRule="auto"/>
        <w:rPr>
          <w:rFonts w:eastAsia="Arial" w:cs="Arial"/>
          <w:b/>
          <w:bCs/>
        </w:rPr>
      </w:pPr>
      <w:r w:rsidRPr="008805B5">
        <w:rPr>
          <w:rFonts w:eastAsia="Arial" w:cs="Arial"/>
          <w:b/>
          <w:bCs/>
        </w:rPr>
        <w:lastRenderedPageBreak/>
        <w:t xml:space="preserve">Scope of LFA Verification </w:t>
      </w:r>
    </w:p>
    <w:p w14:paraId="36D8083F" w14:textId="77777777" w:rsidR="003D76B2" w:rsidRPr="008E43E7" w:rsidRDefault="003D76B2" w:rsidP="003D76B2">
      <w:pPr>
        <w:pStyle w:val="ListParagraph"/>
        <w:spacing w:after="0"/>
        <w:jc w:val="both"/>
        <w:rPr>
          <w:rFonts w:eastAsia="Arial" w:cs="Arial"/>
          <w:b/>
          <w:bCs/>
        </w:rPr>
      </w:pPr>
    </w:p>
    <w:p w14:paraId="18C138F3" w14:textId="77288405" w:rsidR="003D76B2" w:rsidRDefault="003D76B2" w:rsidP="003D76B2">
      <w:pPr>
        <w:spacing w:after="0"/>
        <w:jc w:val="both"/>
        <w:rPr>
          <w:rFonts w:eastAsia="Arial" w:cs="Arial"/>
        </w:rPr>
      </w:pPr>
      <w:r w:rsidRPr="1DAE747C">
        <w:rPr>
          <w:rFonts w:eastAsia="Arial" w:cs="Arial"/>
        </w:rPr>
        <w:t>TORs for LFAs should be designed to assess the status of expiries: health products that have been expired over the last 12 months, and health products at risk of expiry in the coming 6 months, with special attention to:</w:t>
      </w:r>
    </w:p>
    <w:p w14:paraId="47B27082" w14:textId="77777777" w:rsidR="003D76B2" w:rsidRDefault="003D76B2" w:rsidP="003D76B2">
      <w:pPr>
        <w:spacing w:after="0"/>
        <w:ind w:left="426"/>
        <w:jc w:val="both"/>
        <w:rPr>
          <w:rFonts w:eastAsia="Arial" w:cs="Arial"/>
        </w:rPr>
      </w:pPr>
      <w:r w:rsidRPr="441601D1">
        <w:rPr>
          <w:rFonts w:eastAsia="Arial" w:cs="Arial"/>
        </w:rPr>
        <w:t>(</w:t>
      </w:r>
      <w:proofErr w:type="spellStart"/>
      <w:r w:rsidRPr="441601D1">
        <w:rPr>
          <w:rFonts w:eastAsia="Arial" w:cs="Arial"/>
        </w:rPr>
        <w:t>i</w:t>
      </w:r>
      <w:proofErr w:type="spellEnd"/>
      <w:r w:rsidRPr="441601D1">
        <w:rPr>
          <w:rFonts w:eastAsia="Arial" w:cs="Arial"/>
        </w:rPr>
        <w:t>) SARS-CoV-2 RDTs, SARS-CoV-2 PCR reagents, and core PPE</w:t>
      </w:r>
    </w:p>
    <w:p w14:paraId="239307D7" w14:textId="77777777" w:rsidR="003D76B2" w:rsidRDefault="003D76B2" w:rsidP="003D76B2">
      <w:pPr>
        <w:spacing w:after="0"/>
        <w:ind w:left="426"/>
        <w:jc w:val="both"/>
        <w:rPr>
          <w:rFonts w:eastAsia="Arial" w:cs="Arial"/>
        </w:rPr>
      </w:pPr>
      <w:r w:rsidRPr="441601D1">
        <w:rPr>
          <w:rFonts w:eastAsia="Arial" w:cs="Arial"/>
        </w:rPr>
        <w:t>(ii) HIV antiretroviral treatments impacted by recent regimen transitions such as phase out of Nevirapine based regimen, transition from TLE to TLD combinations and introduction of new pediatric regimens.</w:t>
      </w:r>
    </w:p>
    <w:p w14:paraId="5AA08A10" w14:textId="77777777" w:rsidR="003D76B2" w:rsidRDefault="003D76B2" w:rsidP="003D76B2">
      <w:pPr>
        <w:spacing w:after="0"/>
        <w:ind w:left="426"/>
        <w:jc w:val="both"/>
        <w:rPr>
          <w:rFonts w:eastAsia="Arial" w:cs="Arial"/>
        </w:rPr>
      </w:pPr>
      <w:r w:rsidRPr="441601D1">
        <w:rPr>
          <w:rFonts w:eastAsia="Arial" w:cs="Arial"/>
        </w:rPr>
        <w:t xml:space="preserve">(iii) antituberculosis </w:t>
      </w:r>
      <w:r>
        <w:rPr>
          <w:rFonts w:eastAsia="Arial" w:cs="Arial"/>
        </w:rPr>
        <w:t xml:space="preserve">MDR-TB </w:t>
      </w:r>
      <w:r w:rsidRPr="441601D1">
        <w:rPr>
          <w:rFonts w:eastAsia="Arial" w:cs="Arial"/>
        </w:rPr>
        <w:t xml:space="preserve">treatments impacted by introduction of </w:t>
      </w:r>
      <w:proofErr w:type="spellStart"/>
      <w:r w:rsidRPr="441601D1">
        <w:rPr>
          <w:rFonts w:eastAsia="Arial" w:cs="Arial"/>
        </w:rPr>
        <w:t>Bedaquiline</w:t>
      </w:r>
      <w:proofErr w:type="spellEnd"/>
      <w:r w:rsidRPr="441601D1">
        <w:rPr>
          <w:rFonts w:eastAsia="Arial" w:cs="Arial"/>
        </w:rPr>
        <w:t xml:space="preserve"> and new all orals short regimen</w:t>
      </w:r>
    </w:p>
    <w:p w14:paraId="5BDD622D" w14:textId="77777777" w:rsidR="003D76B2" w:rsidRDefault="003D76B2" w:rsidP="003D76B2">
      <w:pPr>
        <w:spacing w:after="0"/>
        <w:ind w:left="426"/>
        <w:jc w:val="both"/>
        <w:rPr>
          <w:rFonts w:eastAsia="Arial" w:cs="Arial"/>
        </w:rPr>
      </w:pPr>
      <w:r>
        <w:rPr>
          <w:rFonts w:eastAsia="Arial" w:cs="Arial"/>
        </w:rPr>
        <w:t>(iv) tuberculosis preventive treatments (4R, 3HR, 3HP and 1HP)</w:t>
      </w:r>
    </w:p>
    <w:p w14:paraId="570C346F" w14:textId="77777777" w:rsidR="003D76B2" w:rsidRDefault="003D76B2" w:rsidP="003D76B2">
      <w:pPr>
        <w:spacing w:after="0"/>
        <w:jc w:val="both"/>
        <w:rPr>
          <w:rFonts w:eastAsia="Arial" w:cs="Arial"/>
        </w:rPr>
      </w:pPr>
    </w:p>
    <w:p w14:paraId="0A44693C" w14:textId="77777777" w:rsidR="003D76B2" w:rsidRDefault="003D76B2" w:rsidP="003D76B2">
      <w:pPr>
        <w:spacing w:after="0"/>
        <w:jc w:val="both"/>
        <w:rPr>
          <w:rFonts w:eastAsia="Arial" w:cs="Arial"/>
        </w:rPr>
      </w:pPr>
      <w:r w:rsidRPr="1DAE747C">
        <w:rPr>
          <w:rFonts w:eastAsia="Arial" w:cs="Arial"/>
        </w:rPr>
        <w:t xml:space="preserve">The physical verification on a sample basis should be done at a minimum at central warehouses, regional and/or provincial warehouses and at the top 3 national laboratory testing facilities for HIV, </w:t>
      </w:r>
      <w:proofErr w:type="gramStart"/>
      <w:r w:rsidRPr="1DAE747C">
        <w:rPr>
          <w:rFonts w:eastAsia="Arial" w:cs="Arial"/>
        </w:rPr>
        <w:t>TB</w:t>
      </w:r>
      <w:proofErr w:type="gramEnd"/>
      <w:r w:rsidRPr="1DAE747C">
        <w:rPr>
          <w:rFonts w:eastAsia="Arial" w:cs="Arial"/>
        </w:rPr>
        <w:t xml:space="preserve"> and SARS-CoV-2. It should also include, at those levels, temporary storage spaces such as those where COVID-19 related commodities are stored.</w:t>
      </w:r>
    </w:p>
    <w:p w14:paraId="7D85CD47" w14:textId="77777777" w:rsidR="003D76B2" w:rsidRDefault="003D76B2" w:rsidP="003D76B2">
      <w:pPr>
        <w:spacing w:after="0"/>
        <w:jc w:val="both"/>
        <w:rPr>
          <w:rFonts w:eastAsia="Arial" w:cs="Arial"/>
        </w:rPr>
      </w:pPr>
    </w:p>
    <w:p w14:paraId="11211CA0" w14:textId="77777777" w:rsidR="003D76B2" w:rsidRDefault="003D76B2" w:rsidP="003D76B2">
      <w:pPr>
        <w:spacing w:after="0"/>
        <w:jc w:val="both"/>
        <w:rPr>
          <w:rFonts w:eastAsia="Arial" w:cs="Arial"/>
        </w:rPr>
      </w:pPr>
      <w:r w:rsidRPr="1DAE747C">
        <w:rPr>
          <w:rFonts w:eastAsia="Arial" w:cs="Arial"/>
        </w:rPr>
        <w:t xml:space="preserve">The </w:t>
      </w:r>
      <w:proofErr w:type="spellStart"/>
      <w:r w:rsidRPr="1DAE747C">
        <w:rPr>
          <w:rFonts w:eastAsia="Arial" w:cs="Arial"/>
        </w:rPr>
        <w:t>ToR</w:t>
      </w:r>
      <w:proofErr w:type="spellEnd"/>
      <w:r w:rsidRPr="1DAE747C">
        <w:rPr>
          <w:rFonts w:eastAsia="Arial" w:cs="Arial"/>
        </w:rPr>
        <w:t xml:space="preserve"> should also provide a description of the different supply chains managing the health products, (number of central medical/regional/provincial stores, description of the flow of commodities) as well as a status update of any new regimen introduction or transition.</w:t>
      </w:r>
    </w:p>
    <w:p w14:paraId="3E53D51B" w14:textId="77777777" w:rsidR="003D76B2" w:rsidRDefault="003D76B2" w:rsidP="003D76B2">
      <w:pPr>
        <w:spacing w:after="0"/>
        <w:jc w:val="both"/>
        <w:rPr>
          <w:rFonts w:eastAsia="Arial" w:cs="Arial"/>
        </w:rPr>
      </w:pPr>
    </w:p>
    <w:p w14:paraId="31234261" w14:textId="77777777" w:rsidR="003D76B2" w:rsidRPr="00D43359" w:rsidRDefault="003D76B2" w:rsidP="003D76B2">
      <w:pPr>
        <w:spacing w:after="0"/>
        <w:jc w:val="both"/>
        <w:rPr>
          <w:rFonts w:eastAsia="Arial" w:cs="Arial"/>
        </w:rPr>
      </w:pPr>
    </w:p>
    <w:p w14:paraId="30B64759" w14:textId="57B2DA75" w:rsidR="003D76B2" w:rsidRDefault="003D76B2" w:rsidP="003D76B2">
      <w:pPr>
        <w:spacing w:after="0"/>
        <w:jc w:val="both"/>
        <w:rPr>
          <w:rFonts w:eastAsia="Arial" w:cs="Arial"/>
          <w:b/>
          <w:bCs/>
        </w:rPr>
      </w:pPr>
      <w:r w:rsidRPr="1DAE747C">
        <w:rPr>
          <w:rFonts w:eastAsia="Arial" w:cs="Arial"/>
          <w:b/>
          <w:bCs/>
        </w:rPr>
        <w:t xml:space="preserve"> 2. Description of the National System/SC system used for GF funded </w:t>
      </w:r>
      <w:r w:rsidRPr="003D76B2">
        <w:rPr>
          <w:rFonts w:eastAsia="Arial" w:cs="Arial"/>
          <w:b/>
          <w:bCs/>
        </w:rPr>
        <w:t>health product</w:t>
      </w:r>
    </w:p>
    <w:p w14:paraId="5BDBFF71" w14:textId="77777777" w:rsidR="003D76B2" w:rsidRPr="008E43E7" w:rsidRDefault="003D76B2" w:rsidP="003D76B2">
      <w:pPr>
        <w:spacing w:after="0"/>
        <w:jc w:val="both"/>
        <w:rPr>
          <w:rFonts w:eastAsia="Arial" w:cs="Arial"/>
          <w:b/>
          <w:bCs/>
        </w:rPr>
      </w:pPr>
    </w:p>
    <w:p w14:paraId="21E37149" w14:textId="20476FFA" w:rsidR="003D76B2" w:rsidRPr="00054D01" w:rsidRDefault="003D76B2" w:rsidP="003D76B2">
      <w:pPr>
        <w:spacing w:after="0"/>
        <w:jc w:val="both"/>
        <w:rPr>
          <w:rFonts w:eastAsia="Arial" w:cs="Arial"/>
        </w:rPr>
      </w:pPr>
      <w:r w:rsidRPr="1DAE747C">
        <w:rPr>
          <w:rFonts w:eastAsia="Arial" w:cs="Arial"/>
        </w:rPr>
        <w:t>The LFA should provide a description of the In-Country Supply Chain for each of the health product categories under review:</w:t>
      </w:r>
    </w:p>
    <w:p w14:paraId="2D7DD231" w14:textId="77777777" w:rsidR="003D76B2" w:rsidRDefault="003D76B2" w:rsidP="003D76B2">
      <w:pPr>
        <w:pStyle w:val="ListParagraph"/>
        <w:numPr>
          <w:ilvl w:val="0"/>
          <w:numId w:val="25"/>
        </w:numPr>
        <w:spacing w:after="0" w:line="259" w:lineRule="auto"/>
        <w:jc w:val="both"/>
        <w:rPr>
          <w:rFonts w:eastAsia="Arial" w:cs="Arial"/>
        </w:rPr>
      </w:pPr>
      <w:r w:rsidRPr="441601D1">
        <w:rPr>
          <w:rFonts w:eastAsia="Arial" w:cs="Arial"/>
        </w:rPr>
        <w:t xml:space="preserve">Storage spaces available at each level: location, status </w:t>
      </w:r>
      <w:r>
        <w:rPr>
          <w:rFonts w:eastAsia="Arial" w:cs="Arial"/>
        </w:rPr>
        <w:t>(</w:t>
      </w:r>
      <w:r w:rsidRPr="441601D1">
        <w:rPr>
          <w:rFonts w:eastAsia="Arial" w:cs="Arial"/>
        </w:rPr>
        <w:t>state facility/rented) and storage capacity (</w:t>
      </w:r>
      <w:r>
        <w:rPr>
          <w:rFonts w:eastAsia="Arial" w:cs="Arial"/>
        </w:rPr>
        <w:t>v</w:t>
      </w:r>
      <w:r w:rsidRPr="441601D1">
        <w:rPr>
          <w:rFonts w:eastAsia="Arial" w:cs="Arial"/>
        </w:rPr>
        <w:t xml:space="preserve">olume m3, </w:t>
      </w:r>
      <w:proofErr w:type="spellStart"/>
      <w:r w:rsidRPr="441601D1">
        <w:rPr>
          <w:rFonts w:eastAsia="Arial" w:cs="Arial"/>
        </w:rPr>
        <w:t>nb</w:t>
      </w:r>
      <w:proofErr w:type="spellEnd"/>
      <w:r w:rsidRPr="441601D1">
        <w:rPr>
          <w:rFonts w:eastAsia="Arial" w:cs="Arial"/>
        </w:rPr>
        <w:t xml:space="preserve"> of pallets)</w:t>
      </w:r>
    </w:p>
    <w:p w14:paraId="4EF55F04" w14:textId="77777777" w:rsidR="003D76B2" w:rsidRDefault="003D76B2" w:rsidP="003D76B2">
      <w:pPr>
        <w:pStyle w:val="ListParagraph"/>
        <w:numPr>
          <w:ilvl w:val="0"/>
          <w:numId w:val="25"/>
        </w:numPr>
        <w:spacing w:after="0" w:line="259" w:lineRule="auto"/>
        <w:jc w:val="both"/>
        <w:rPr>
          <w:rFonts w:eastAsia="Arial" w:cs="Arial"/>
        </w:rPr>
      </w:pPr>
      <w:r w:rsidRPr="441601D1">
        <w:rPr>
          <w:rFonts w:eastAsia="Arial" w:cs="Arial"/>
        </w:rPr>
        <w:t>Storage utilization rate (% of space utilized versus total space available)</w:t>
      </w:r>
    </w:p>
    <w:p w14:paraId="364B05A7" w14:textId="77777777" w:rsidR="003D76B2" w:rsidRDefault="003D76B2" w:rsidP="003D76B2">
      <w:pPr>
        <w:pStyle w:val="ListParagraph"/>
        <w:numPr>
          <w:ilvl w:val="0"/>
          <w:numId w:val="25"/>
        </w:numPr>
        <w:spacing w:after="0" w:line="259" w:lineRule="auto"/>
        <w:jc w:val="both"/>
        <w:rPr>
          <w:rFonts w:eastAsia="Arial" w:cs="Arial"/>
        </w:rPr>
      </w:pPr>
      <w:r w:rsidRPr="441601D1">
        <w:rPr>
          <w:rFonts w:eastAsia="Arial" w:cs="Arial"/>
        </w:rPr>
        <w:t>Storage conditions (WHO good storage practices)</w:t>
      </w:r>
    </w:p>
    <w:p w14:paraId="7724B267" w14:textId="3D201B83" w:rsidR="003D76B2" w:rsidRDefault="003D76B2" w:rsidP="003D76B2">
      <w:pPr>
        <w:pStyle w:val="ListParagraph"/>
        <w:numPr>
          <w:ilvl w:val="0"/>
          <w:numId w:val="25"/>
        </w:numPr>
        <w:spacing w:after="0" w:line="259" w:lineRule="auto"/>
        <w:jc w:val="both"/>
        <w:rPr>
          <w:rFonts w:eastAsia="Arial" w:cs="Arial"/>
        </w:rPr>
      </w:pPr>
      <w:r>
        <w:rPr>
          <w:rFonts w:eastAsia="Arial" w:cs="Arial"/>
        </w:rPr>
        <w:t>Storage and d</w:t>
      </w:r>
      <w:r w:rsidRPr="441601D1">
        <w:rPr>
          <w:rFonts w:eastAsia="Arial" w:cs="Arial"/>
        </w:rPr>
        <w:t>istribution</w:t>
      </w:r>
      <w:r>
        <w:rPr>
          <w:rFonts w:eastAsia="Arial" w:cs="Arial"/>
        </w:rPr>
        <w:t xml:space="preserve"> contractual</w:t>
      </w:r>
      <w:r w:rsidRPr="441601D1">
        <w:rPr>
          <w:rFonts w:eastAsia="Arial" w:cs="Arial"/>
        </w:rPr>
        <w:t xml:space="preserve"> arrangements (in-sourced/outsourced), distribution frequency and model (push/pull), estimated inventory turn per </w:t>
      </w:r>
      <w:r w:rsidRPr="1DAE747C">
        <w:rPr>
          <w:rFonts w:eastAsia="Arial" w:cs="Arial"/>
        </w:rPr>
        <w:t xml:space="preserve">health </w:t>
      </w:r>
      <w:proofErr w:type="gramStart"/>
      <w:r w:rsidRPr="1DAE747C">
        <w:rPr>
          <w:rFonts w:eastAsia="Arial" w:cs="Arial"/>
        </w:rPr>
        <w:t>product</w:t>
      </w:r>
      <w:proofErr w:type="gramEnd"/>
    </w:p>
    <w:p w14:paraId="55DD1858" w14:textId="77777777" w:rsidR="003D76B2" w:rsidRPr="00282F1E" w:rsidRDefault="003D76B2" w:rsidP="003D76B2">
      <w:pPr>
        <w:pStyle w:val="ListParagraph"/>
        <w:numPr>
          <w:ilvl w:val="0"/>
          <w:numId w:val="25"/>
        </w:numPr>
        <w:spacing w:after="0" w:line="259" w:lineRule="auto"/>
        <w:jc w:val="both"/>
        <w:rPr>
          <w:rFonts w:eastAsia="Arial" w:cs="Arial"/>
        </w:rPr>
      </w:pPr>
      <w:r w:rsidRPr="441601D1">
        <w:rPr>
          <w:rFonts w:eastAsia="Arial" w:cs="Arial"/>
        </w:rPr>
        <w:t>Description of the LMIS: type, coverage, known weaknesses and plan of improvements</w:t>
      </w:r>
    </w:p>
    <w:p w14:paraId="1DFBDCC9" w14:textId="77777777" w:rsidR="003D76B2" w:rsidRDefault="003D76B2" w:rsidP="003D76B2">
      <w:pPr>
        <w:spacing w:after="0"/>
        <w:jc w:val="both"/>
        <w:rPr>
          <w:rFonts w:eastAsia="Arial" w:cs="Arial"/>
        </w:rPr>
      </w:pPr>
    </w:p>
    <w:p w14:paraId="6251C550" w14:textId="77777777" w:rsidR="003D76B2" w:rsidRDefault="003D76B2" w:rsidP="003D76B2">
      <w:pPr>
        <w:spacing w:after="0"/>
        <w:jc w:val="both"/>
        <w:rPr>
          <w:rFonts w:eastAsia="Arial" w:cs="Arial"/>
        </w:rPr>
      </w:pPr>
      <w:r w:rsidRPr="1DAE747C">
        <w:rPr>
          <w:rFonts w:eastAsia="Arial" w:cs="Arial"/>
        </w:rPr>
        <w:t xml:space="preserve">The LFA should also review the </w:t>
      </w:r>
      <w:r w:rsidRPr="1DAE747C">
        <w:rPr>
          <w:rFonts w:eastAsia="Arial" w:cs="Arial"/>
          <w:b/>
          <w:bCs/>
        </w:rPr>
        <w:t>status of regimen introduction &amp; transition</w:t>
      </w:r>
      <w:r w:rsidRPr="1DAE747C">
        <w:rPr>
          <w:rFonts w:eastAsia="Arial" w:cs="Arial"/>
        </w:rPr>
        <w:t xml:space="preserve"> for HIV (Nevirapine phase out, transition from TLE to TLD, introduction of new HIV pediatric treatments</w:t>
      </w:r>
      <w:proofErr w:type="gramStart"/>
      <w:r w:rsidRPr="1DAE747C">
        <w:rPr>
          <w:rFonts w:eastAsia="Arial" w:cs="Arial"/>
        </w:rPr>
        <w:t>) ,</w:t>
      </w:r>
      <w:proofErr w:type="gramEnd"/>
      <w:r w:rsidRPr="1DAE747C">
        <w:rPr>
          <w:rFonts w:eastAsia="Arial" w:cs="Arial"/>
        </w:rPr>
        <w:t xml:space="preserve"> MDR-TB treatments (introduction of </w:t>
      </w:r>
      <w:proofErr w:type="spellStart"/>
      <w:r w:rsidRPr="1DAE747C">
        <w:rPr>
          <w:rFonts w:eastAsia="Arial" w:cs="Arial"/>
        </w:rPr>
        <w:t>Bedaquiline</w:t>
      </w:r>
      <w:proofErr w:type="spellEnd"/>
      <w:r w:rsidRPr="1DAE747C">
        <w:rPr>
          <w:rFonts w:eastAsia="Arial" w:cs="Arial"/>
        </w:rPr>
        <w:t>, introduction of short and all oral regimens) and introduction to new TPT regimens (4R, 3HR, 3HP and 1HP):</w:t>
      </w:r>
    </w:p>
    <w:p w14:paraId="760B7409" w14:textId="77777777" w:rsidR="003D76B2" w:rsidRDefault="003D76B2" w:rsidP="003D76B2">
      <w:pPr>
        <w:pStyle w:val="ListParagraph"/>
        <w:numPr>
          <w:ilvl w:val="0"/>
          <w:numId w:val="24"/>
        </w:numPr>
        <w:spacing w:after="0" w:line="259" w:lineRule="auto"/>
        <w:jc w:val="both"/>
        <w:rPr>
          <w:rFonts w:eastAsia="Arial" w:cs="Arial"/>
        </w:rPr>
      </w:pPr>
      <w:r w:rsidRPr="441601D1">
        <w:rPr>
          <w:rFonts w:eastAsia="Arial" w:cs="Arial"/>
        </w:rPr>
        <w:t>Status of current national guidelines (e.g., are all introduction and transition integrated?)</w:t>
      </w:r>
    </w:p>
    <w:p w14:paraId="306F85A4" w14:textId="77777777" w:rsidR="003D76B2" w:rsidRDefault="003D76B2" w:rsidP="003D76B2">
      <w:pPr>
        <w:pStyle w:val="ListParagraph"/>
        <w:numPr>
          <w:ilvl w:val="0"/>
          <w:numId w:val="24"/>
        </w:numPr>
        <w:spacing w:after="0" w:line="259" w:lineRule="auto"/>
        <w:jc w:val="both"/>
        <w:rPr>
          <w:rFonts w:eastAsia="Arial" w:cs="Arial"/>
        </w:rPr>
      </w:pPr>
      <w:r w:rsidRPr="441601D1">
        <w:rPr>
          <w:rFonts w:eastAsia="Arial" w:cs="Arial"/>
        </w:rPr>
        <w:lastRenderedPageBreak/>
        <w:t>Existence of an introduction/transition plan</w:t>
      </w:r>
    </w:p>
    <w:p w14:paraId="4166AE88" w14:textId="217ADB5A" w:rsidR="003D76B2" w:rsidRDefault="003D76B2" w:rsidP="003D76B2">
      <w:pPr>
        <w:pStyle w:val="ListParagraph"/>
        <w:numPr>
          <w:ilvl w:val="0"/>
          <w:numId w:val="24"/>
        </w:numPr>
        <w:spacing w:after="0" w:line="259" w:lineRule="auto"/>
        <w:jc w:val="both"/>
        <w:rPr>
          <w:rFonts w:eastAsia="Arial" w:cs="Arial"/>
        </w:rPr>
      </w:pPr>
      <w:r w:rsidRPr="441601D1">
        <w:rPr>
          <w:rFonts w:eastAsia="Arial" w:cs="Arial"/>
        </w:rPr>
        <w:t xml:space="preserve">Status of progress on the introduction or transition plan (e.g., % of cohort already switched to the new regimen and targets) and main hypothesis used for </w:t>
      </w:r>
      <w:r>
        <w:rPr>
          <w:rFonts w:eastAsia="Arial" w:cs="Arial"/>
        </w:rPr>
        <w:t xml:space="preserve">the current year’s </w:t>
      </w:r>
      <w:r w:rsidRPr="441601D1">
        <w:rPr>
          <w:rFonts w:eastAsia="Arial" w:cs="Arial"/>
        </w:rPr>
        <w:t>quantifications (% of cohort under old/new regimen)</w:t>
      </w:r>
      <w:r>
        <w:rPr>
          <w:rFonts w:eastAsia="Arial" w:cs="Arial"/>
        </w:rPr>
        <w:t>.</w:t>
      </w:r>
    </w:p>
    <w:p w14:paraId="1B427BF6" w14:textId="77777777" w:rsidR="003D76B2" w:rsidRDefault="003D76B2" w:rsidP="003D76B2">
      <w:pPr>
        <w:spacing w:after="0"/>
        <w:ind w:left="360"/>
        <w:jc w:val="both"/>
        <w:rPr>
          <w:rFonts w:eastAsia="Arial" w:cs="Arial"/>
        </w:rPr>
      </w:pPr>
    </w:p>
    <w:p w14:paraId="609A5D10" w14:textId="77777777" w:rsidR="003D76B2" w:rsidRPr="009C3C51" w:rsidRDefault="003D76B2" w:rsidP="003D76B2">
      <w:pPr>
        <w:spacing w:after="0"/>
        <w:ind w:left="360"/>
        <w:jc w:val="both"/>
        <w:rPr>
          <w:rFonts w:eastAsia="Arial" w:cs="Arial"/>
        </w:rPr>
      </w:pPr>
    </w:p>
    <w:p w14:paraId="1CF120B5" w14:textId="63696D40" w:rsidR="003D76B2" w:rsidRDefault="003D76B2" w:rsidP="003D76B2">
      <w:pPr>
        <w:spacing w:after="0"/>
        <w:jc w:val="both"/>
        <w:rPr>
          <w:rFonts w:eastAsia="Arial" w:cs="Arial"/>
          <w:b/>
          <w:bCs/>
        </w:rPr>
      </w:pPr>
      <w:r w:rsidRPr="1DAE747C">
        <w:rPr>
          <w:rFonts w:eastAsia="Arial" w:cs="Arial"/>
          <w:b/>
          <w:bCs/>
        </w:rPr>
        <w:t xml:space="preserve">2. Verification of </w:t>
      </w:r>
      <w:r w:rsidRPr="003D76B2">
        <w:rPr>
          <w:rFonts w:eastAsia="Arial" w:cs="Arial"/>
          <w:b/>
          <w:bCs/>
        </w:rPr>
        <w:t>health product</w:t>
      </w:r>
      <w:r>
        <w:rPr>
          <w:rFonts w:eastAsia="Arial" w:cs="Arial"/>
          <w:b/>
          <w:bCs/>
        </w:rPr>
        <w:t>s</w:t>
      </w:r>
      <w:r w:rsidRPr="1DAE747C">
        <w:rPr>
          <w:rFonts w:eastAsia="Arial" w:cs="Arial"/>
          <w:b/>
          <w:bCs/>
        </w:rPr>
        <w:t xml:space="preserve"> expired in the last 12 months, or at risk of expiry in the coming 6 months</w:t>
      </w:r>
    </w:p>
    <w:p w14:paraId="698076D3" w14:textId="77777777" w:rsidR="003D76B2" w:rsidRPr="001A45FF" w:rsidRDefault="003D76B2" w:rsidP="003D76B2">
      <w:pPr>
        <w:spacing w:after="0"/>
        <w:jc w:val="both"/>
        <w:rPr>
          <w:rFonts w:cs="Arial"/>
          <w:b/>
          <w:bCs/>
        </w:rPr>
      </w:pPr>
    </w:p>
    <w:p w14:paraId="005B69E7" w14:textId="2764B707" w:rsidR="003D76B2" w:rsidRDefault="003D76B2" w:rsidP="003D76B2">
      <w:pPr>
        <w:spacing w:after="0"/>
        <w:jc w:val="both"/>
        <w:rPr>
          <w:rFonts w:eastAsia="Arial" w:cs="Arial"/>
        </w:rPr>
      </w:pPr>
      <w:r w:rsidRPr="1DAE747C">
        <w:rPr>
          <w:rFonts w:eastAsia="Arial" w:cs="Arial"/>
        </w:rPr>
        <w:t>LFA verifications should focus on health products categories funded by the Global Fund, covering both expired ones as well as those at risk of expiry in the coming 6 months. It is acknowledged that the LFA will not systematically be able to differentiate between grant funded health products and government or partner</w:t>
      </w:r>
      <w:r>
        <w:rPr>
          <w:rFonts w:eastAsia="Arial" w:cs="Arial"/>
        </w:rPr>
        <w:t xml:space="preserve"> </w:t>
      </w:r>
      <w:r w:rsidRPr="1DAE747C">
        <w:rPr>
          <w:rFonts w:eastAsia="Arial" w:cs="Arial"/>
        </w:rPr>
        <w:t>funded health product</w:t>
      </w:r>
      <w:r>
        <w:rPr>
          <w:rFonts w:eastAsia="Arial" w:cs="Arial"/>
        </w:rPr>
        <w:t>s</w:t>
      </w:r>
      <w:r w:rsidRPr="1DAE747C">
        <w:rPr>
          <w:rFonts w:eastAsia="Arial" w:cs="Arial"/>
        </w:rPr>
        <w:t>, if this is the case the LFA should state it in its report.</w:t>
      </w:r>
    </w:p>
    <w:p w14:paraId="4DFA6FF3" w14:textId="77777777" w:rsidR="003D76B2" w:rsidRPr="00925DD6" w:rsidRDefault="003D76B2" w:rsidP="003D76B2">
      <w:pPr>
        <w:spacing w:after="0"/>
        <w:jc w:val="both"/>
        <w:rPr>
          <w:rFonts w:cs="Arial"/>
          <w:b/>
          <w:bCs/>
        </w:rPr>
      </w:pPr>
      <w:r w:rsidRPr="1DAE747C">
        <w:rPr>
          <w:rFonts w:eastAsia="Arial" w:cs="Arial"/>
        </w:rPr>
        <w:t>The LFA is expected to conduct in-person visits of the storage sites, using all relevant sources of information available (warehouse management system, bin cards, physical counts).</w:t>
      </w:r>
    </w:p>
    <w:p w14:paraId="1BA59D7D" w14:textId="77777777" w:rsidR="003D76B2" w:rsidRDefault="003D76B2" w:rsidP="003D76B2">
      <w:pPr>
        <w:spacing w:after="0"/>
        <w:jc w:val="both"/>
        <w:rPr>
          <w:rFonts w:eastAsia="Arial" w:cs="Arial"/>
        </w:rPr>
      </w:pPr>
    </w:p>
    <w:p w14:paraId="3B978EF7" w14:textId="77777777" w:rsidR="003D76B2" w:rsidRPr="00925DD6" w:rsidRDefault="003D76B2" w:rsidP="003D76B2">
      <w:pPr>
        <w:spacing w:after="0"/>
        <w:jc w:val="both"/>
        <w:rPr>
          <w:rFonts w:eastAsia="Arial" w:cs="Arial"/>
        </w:rPr>
      </w:pPr>
      <w:r w:rsidRPr="1DAE747C">
        <w:rPr>
          <w:rFonts w:eastAsia="Arial" w:cs="Arial"/>
        </w:rPr>
        <w:t>For each batch number checked, at a minimum, the following data points should be reported in a table:</w:t>
      </w:r>
    </w:p>
    <w:p w14:paraId="4054694E" w14:textId="39019E48" w:rsidR="003D76B2" w:rsidRPr="00925DD6" w:rsidRDefault="003D76B2" w:rsidP="003D76B2">
      <w:pPr>
        <w:pStyle w:val="ListParagraph"/>
        <w:numPr>
          <w:ilvl w:val="0"/>
          <w:numId w:val="29"/>
        </w:numPr>
        <w:spacing w:after="0" w:line="259" w:lineRule="auto"/>
        <w:jc w:val="both"/>
        <w:rPr>
          <w:rFonts w:eastAsia="Arial" w:cs="Arial"/>
        </w:rPr>
      </w:pPr>
      <w:r>
        <w:rPr>
          <w:rFonts w:eastAsia="Arial" w:cs="Arial"/>
        </w:rPr>
        <w:t>H</w:t>
      </w:r>
      <w:r w:rsidRPr="1DAE747C">
        <w:rPr>
          <w:rFonts w:eastAsia="Arial" w:cs="Arial"/>
        </w:rPr>
        <w:t>ealth product</w:t>
      </w:r>
      <w:r w:rsidRPr="441601D1">
        <w:rPr>
          <w:rFonts w:eastAsia="Arial" w:cs="Arial"/>
        </w:rPr>
        <w:t xml:space="preserve"> specifications (</w:t>
      </w:r>
      <w:r>
        <w:rPr>
          <w:rFonts w:eastAsia="Arial" w:cs="Arial"/>
        </w:rPr>
        <w:t xml:space="preserve">granularity of the description </w:t>
      </w:r>
      <w:proofErr w:type="gramStart"/>
      <w:r w:rsidRPr="441601D1">
        <w:rPr>
          <w:rFonts w:eastAsia="Arial" w:cs="Arial"/>
        </w:rPr>
        <w:t>similar to</w:t>
      </w:r>
      <w:proofErr w:type="gramEnd"/>
      <w:r w:rsidRPr="441601D1">
        <w:rPr>
          <w:rFonts w:eastAsia="Arial" w:cs="Arial"/>
        </w:rPr>
        <w:t xml:space="preserve"> the level of details provided in </w:t>
      </w:r>
      <w:r>
        <w:rPr>
          <w:rFonts w:eastAsia="Arial" w:cs="Arial"/>
        </w:rPr>
        <w:t>H</w:t>
      </w:r>
      <w:r w:rsidRPr="1DAE747C">
        <w:rPr>
          <w:rFonts w:eastAsia="Arial" w:cs="Arial"/>
        </w:rPr>
        <w:t xml:space="preserve">ealth </w:t>
      </w:r>
      <w:r>
        <w:rPr>
          <w:rFonts w:eastAsia="Arial" w:cs="Arial"/>
        </w:rPr>
        <w:t>P</w:t>
      </w:r>
      <w:r w:rsidRPr="1DAE747C">
        <w:rPr>
          <w:rFonts w:eastAsia="Arial" w:cs="Arial"/>
        </w:rPr>
        <w:t>roduct</w:t>
      </w:r>
      <w:r>
        <w:rPr>
          <w:rFonts w:eastAsia="Arial" w:cs="Arial"/>
        </w:rPr>
        <w:t xml:space="preserve"> Management Tool (HPMT)</w:t>
      </w:r>
      <w:r w:rsidRPr="441601D1">
        <w:rPr>
          <w:rFonts w:eastAsia="Arial" w:cs="Arial"/>
        </w:rPr>
        <w:t>)</w:t>
      </w:r>
    </w:p>
    <w:p w14:paraId="0158AB6F" w14:textId="77777777" w:rsidR="003D76B2" w:rsidRPr="00925DD6" w:rsidRDefault="003D76B2" w:rsidP="003D76B2">
      <w:pPr>
        <w:pStyle w:val="ListParagraph"/>
        <w:numPr>
          <w:ilvl w:val="0"/>
          <w:numId w:val="29"/>
        </w:numPr>
        <w:spacing w:after="0" w:line="259" w:lineRule="auto"/>
        <w:jc w:val="both"/>
        <w:rPr>
          <w:rFonts w:eastAsia="Arial" w:cs="Arial"/>
        </w:rPr>
      </w:pPr>
      <w:r w:rsidRPr="441601D1">
        <w:rPr>
          <w:rFonts w:eastAsia="Arial" w:cs="Arial"/>
        </w:rPr>
        <w:t>Batch number</w:t>
      </w:r>
    </w:p>
    <w:p w14:paraId="41B5697C" w14:textId="77777777" w:rsidR="003D76B2" w:rsidRPr="00925DD6" w:rsidRDefault="003D76B2" w:rsidP="003D76B2">
      <w:pPr>
        <w:pStyle w:val="ListParagraph"/>
        <w:numPr>
          <w:ilvl w:val="0"/>
          <w:numId w:val="29"/>
        </w:numPr>
        <w:spacing w:after="0" w:line="259" w:lineRule="auto"/>
        <w:jc w:val="both"/>
        <w:rPr>
          <w:rFonts w:eastAsia="Arial" w:cs="Arial"/>
        </w:rPr>
      </w:pPr>
      <w:r w:rsidRPr="441601D1">
        <w:rPr>
          <w:rFonts w:eastAsia="Arial" w:cs="Arial"/>
        </w:rPr>
        <w:t>Expiration date</w:t>
      </w:r>
    </w:p>
    <w:p w14:paraId="679CA1AC" w14:textId="77777777" w:rsidR="003D76B2" w:rsidRPr="00925DD6" w:rsidRDefault="003D76B2" w:rsidP="003D76B2">
      <w:pPr>
        <w:pStyle w:val="ListParagraph"/>
        <w:numPr>
          <w:ilvl w:val="0"/>
          <w:numId w:val="29"/>
        </w:numPr>
        <w:spacing w:after="0" w:line="259" w:lineRule="auto"/>
        <w:jc w:val="both"/>
        <w:rPr>
          <w:rFonts w:eastAsia="Arial" w:cs="Arial"/>
        </w:rPr>
      </w:pPr>
      <w:r w:rsidRPr="1DAE747C">
        <w:rPr>
          <w:rFonts w:eastAsia="Arial" w:cs="Arial"/>
        </w:rPr>
        <w:t>Quantity (at primary package level) in stock on the day of the visit</w:t>
      </w:r>
    </w:p>
    <w:p w14:paraId="7EF330CD" w14:textId="77777777" w:rsidR="003D76B2" w:rsidRDefault="003D76B2" w:rsidP="003D76B2">
      <w:pPr>
        <w:spacing w:after="0"/>
        <w:jc w:val="both"/>
        <w:rPr>
          <w:rFonts w:eastAsia="Arial" w:cs="Arial"/>
        </w:rPr>
      </w:pPr>
    </w:p>
    <w:p w14:paraId="52A42933" w14:textId="63B2C3F4" w:rsidR="003D76B2" w:rsidRPr="00925DD6" w:rsidRDefault="003D76B2" w:rsidP="003D76B2">
      <w:pPr>
        <w:spacing w:after="0"/>
        <w:jc w:val="both"/>
        <w:rPr>
          <w:rFonts w:eastAsia="Arial" w:cs="Arial"/>
        </w:rPr>
      </w:pPr>
      <w:r w:rsidRPr="1DAE747C">
        <w:rPr>
          <w:rFonts w:eastAsia="Arial" w:cs="Arial"/>
        </w:rPr>
        <w:t>The LFA should not limit its review to health product</w:t>
      </w:r>
      <w:r>
        <w:rPr>
          <w:rFonts w:eastAsia="Arial" w:cs="Arial"/>
        </w:rPr>
        <w:t>s</w:t>
      </w:r>
      <w:r w:rsidRPr="1DAE747C">
        <w:rPr>
          <w:rFonts w:eastAsia="Arial" w:cs="Arial"/>
        </w:rPr>
        <w:t xml:space="preserve"> at risk of expiry in the coming 6 months but also include any health product still in storage/quarantine at the site of verification and that would have expired in the last 12 months.  </w:t>
      </w:r>
    </w:p>
    <w:p w14:paraId="7ECD65C3" w14:textId="77777777" w:rsidR="003D76B2" w:rsidRDefault="003D76B2" w:rsidP="003D76B2">
      <w:pPr>
        <w:spacing w:after="0"/>
        <w:jc w:val="both"/>
        <w:rPr>
          <w:rFonts w:eastAsia="Arial" w:cs="Arial"/>
        </w:rPr>
      </w:pPr>
    </w:p>
    <w:p w14:paraId="28C5DAAF" w14:textId="09ED0B29" w:rsidR="003D76B2" w:rsidRPr="00925DD6" w:rsidRDefault="003D76B2" w:rsidP="003D76B2">
      <w:pPr>
        <w:spacing w:after="0"/>
        <w:jc w:val="both"/>
        <w:rPr>
          <w:rFonts w:eastAsia="Arial" w:cs="Arial"/>
        </w:rPr>
      </w:pPr>
      <w:r w:rsidRPr="1DAE747C">
        <w:rPr>
          <w:rFonts w:eastAsia="Arial" w:cs="Arial"/>
        </w:rPr>
        <w:t>At the level of the health product (all batches), the LFA should calculate (subject to the availability of the information provided by the implementers):</w:t>
      </w:r>
    </w:p>
    <w:p w14:paraId="49633454" w14:textId="77777777" w:rsidR="003D76B2" w:rsidRPr="00925DD6" w:rsidRDefault="003D76B2" w:rsidP="003D76B2">
      <w:pPr>
        <w:pStyle w:val="ListParagraph"/>
        <w:numPr>
          <w:ilvl w:val="0"/>
          <w:numId w:val="27"/>
        </w:numPr>
        <w:spacing w:after="0" w:line="259" w:lineRule="auto"/>
        <w:jc w:val="both"/>
        <w:rPr>
          <w:rFonts w:eastAsia="Arial" w:cs="Arial"/>
        </w:rPr>
      </w:pPr>
      <w:r w:rsidRPr="441601D1">
        <w:rPr>
          <w:rFonts w:eastAsia="Arial" w:cs="Arial"/>
        </w:rPr>
        <w:t xml:space="preserve">Average issued quantities (distributed to the next level) for the last 1, 3 and 6 </w:t>
      </w:r>
      <w:proofErr w:type="gramStart"/>
      <w:r w:rsidRPr="441601D1">
        <w:rPr>
          <w:rFonts w:eastAsia="Arial" w:cs="Arial"/>
        </w:rPr>
        <w:t>months</w:t>
      </w:r>
      <w:proofErr w:type="gramEnd"/>
    </w:p>
    <w:p w14:paraId="7DDB62AA" w14:textId="77777777" w:rsidR="003D76B2" w:rsidRPr="00925DD6" w:rsidRDefault="003D76B2" w:rsidP="003D76B2">
      <w:pPr>
        <w:pStyle w:val="ListParagraph"/>
        <w:numPr>
          <w:ilvl w:val="0"/>
          <w:numId w:val="28"/>
        </w:numPr>
        <w:spacing w:after="0" w:line="259" w:lineRule="auto"/>
        <w:jc w:val="both"/>
        <w:rPr>
          <w:rFonts w:eastAsia="Arial" w:cs="Arial"/>
        </w:rPr>
      </w:pPr>
      <w:r w:rsidRPr="441601D1">
        <w:rPr>
          <w:rFonts w:eastAsia="Arial" w:cs="Arial"/>
        </w:rPr>
        <w:t>Average monthly consumption/distribution (over 6 months)</w:t>
      </w:r>
    </w:p>
    <w:p w14:paraId="64650007" w14:textId="77777777" w:rsidR="003D76B2" w:rsidRPr="00925DD6" w:rsidRDefault="003D76B2" w:rsidP="003D76B2">
      <w:pPr>
        <w:pStyle w:val="ListParagraph"/>
        <w:numPr>
          <w:ilvl w:val="0"/>
          <w:numId w:val="29"/>
        </w:numPr>
        <w:spacing w:after="160" w:line="259" w:lineRule="auto"/>
        <w:jc w:val="both"/>
        <w:rPr>
          <w:rFonts w:eastAsia="Arial" w:cs="Arial"/>
        </w:rPr>
      </w:pPr>
      <w:r w:rsidRPr="1DAE747C">
        <w:rPr>
          <w:rFonts w:eastAsia="Arial" w:cs="Arial"/>
        </w:rPr>
        <w:t>Total quantities expired within the last 12 months (when feasible, identify % funded by the GF grants), and specify quantities already disposed of versus quantities to be disposed.</w:t>
      </w:r>
    </w:p>
    <w:p w14:paraId="11BEF885" w14:textId="77777777" w:rsidR="003D76B2" w:rsidRPr="00925DD6" w:rsidRDefault="003D76B2" w:rsidP="003D76B2">
      <w:pPr>
        <w:pStyle w:val="ListParagraph"/>
        <w:numPr>
          <w:ilvl w:val="0"/>
          <w:numId w:val="29"/>
        </w:numPr>
        <w:spacing w:after="160" w:line="259" w:lineRule="auto"/>
        <w:jc w:val="both"/>
        <w:rPr>
          <w:rFonts w:eastAsia="Arial" w:cs="Arial"/>
        </w:rPr>
      </w:pPr>
      <w:r w:rsidRPr="1DAE747C">
        <w:rPr>
          <w:rFonts w:eastAsia="Arial" w:cs="Arial"/>
        </w:rPr>
        <w:t>Projected expiries in the coming 6 months (when feasible, identify % funded by the GF grants)</w:t>
      </w:r>
    </w:p>
    <w:p w14:paraId="6650AFF9" w14:textId="77777777" w:rsidR="003D76B2" w:rsidRDefault="003D76B2" w:rsidP="003D76B2">
      <w:pPr>
        <w:pStyle w:val="ListParagraph"/>
        <w:jc w:val="both"/>
        <w:rPr>
          <w:rFonts w:eastAsia="Arial" w:cs="Arial"/>
        </w:rPr>
      </w:pPr>
    </w:p>
    <w:p w14:paraId="407BE35C" w14:textId="77777777" w:rsidR="003D76B2" w:rsidRPr="00925DD6" w:rsidRDefault="003D76B2" w:rsidP="003D76B2">
      <w:pPr>
        <w:pStyle w:val="ListParagraph"/>
        <w:ind w:left="0"/>
        <w:jc w:val="both"/>
        <w:rPr>
          <w:rFonts w:eastAsia="Arial" w:cs="Arial"/>
        </w:rPr>
      </w:pPr>
      <w:r w:rsidRPr="1DAE747C">
        <w:rPr>
          <w:rFonts w:eastAsia="Arial" w:cs="Arial"/>
        </w:rPr>
        <w:t>Request from the implementers and provide to the Global Fund the information on any expected incoming orders (quantity, arrival time)</w:t>
      </w:r>
    </w:p>
    <w:p w14:paraId="6BCE1C95" w14:textId="77777777" w:rsidR="003D76B2" w:rsidRPr="00925DD6" w:rsidRDefault="003D76B2" w:rsidP="003D76B2">
      <w:pPr>
        <w:jc w:val="both"/>
        <w:rPr>
          <w:rFonts w:eastAsia="Arial" w:cs="Arial"/>
        </w:rPr>
      </w:pPr>
    </w:p>
    <w:p w14:paraId="5D2B6A00" w14:textId="77777777" w:rsidR="003D76B2" w:rsidRPr="006A4E8D" w:rsidRDefault="003D76B2" w:rsidP="003D76B2">
      <w:pPr>
        <w:jc w:val="both"/>
        <w:rPr>
          <w:rFonts w:eastAsia="Arial" w:cs="Arial"/>
          <w:b/>
          <w:bCs/>
        </w:rPr>
      </w:pPr>
      <w:r w:rsidRPr="441601D1">
        <w:rPr>
          <w:rFonts w:eastAsia="Arial" w:cs="Arial"/>
          <w:b/>
          <w:bCs/>
        </w:rPr>
        <w:t xml:space="preserve">3. </w:t>
      </w:r>
      <w:r w:rsidRPr="006A4E8D">
        <w:rPr>
          <w:rFonts w:eastAsia="Arial" w:cs="Arial"/>
          <w:b/>
          <w:bCs/>
        </w:rPr>
        <w:t xml:space="preserve">LFA analysis and </w:t>
      </w:r>
      <w:r w:rsidRPr="441601D1">
        <w:rPr>
          <w:rFonts w:eastAsia="Arial" w:cs="Arial"/>
          <w:b/>
          <w:bCs/>
        </w:rPr>
        <w:t>recommendations</w:t>
      </w:r>
    </w:p>
    <w:p w14:paraId="658E752A" w14:textId="775436CF" w:rsidR="003D76B2" w:rsidRDefault="003D76B2" w:rsidP="003D76B2">
      <w:pPr>
        <w:jc w:val="both"/>
        <w:rPr>
          <w:rFonts w:eastAsia="Arial" w:cs="Arial"/>
        </w:rPr>
      </w:pPr>
      <w:r w:rsidRPr="1DAE747C">
        <w:rPr>
          <w:rFonts w:eastAsia="Arial" w:cs="Arial"/>
        </w:rPr>
        <w:t>The LFA should provide an analysis of volumes (and USD value EXW) of health products expired within the last 12 months or at risk of expiry in the coming 6 months.</w:t>
      </w:r>
    </w:p>
    <w:p w14:paraId="2531AD11" w14:textId="77777777" w:rsidR="003D76B2" w:rsidRPr="00925DD6" w:rsidRDefault="003D76B2" w:rsidP="003D76B2">
      <w:pPr>
        <w:jc w:val="both"/>
        <w:rPr>
          <w:rFonts w:eastAsia="Arial" w:cs="Arial"/>
        </w:rPr>
      </w:pPr>
      <w:r>
        <w:rPr>
          <w:rFonts w:eastAsia="Arial" w:cs="Arial"/>
        </w:rPr>
        <w:t>The LFA should also provide adequate analysis and recommendations for the Global Fund</w:t>
      </w:r>
      <w:r w:rsidRPr="441601D1">
        <w:rPr>
          <w:rFonts w:eastAsia="Arial" w:cs="Arial"/>
        </w:rPr>
        <w:t>, including but not limited to:</w:t>
      </w:r>
    </w:p>
    <w:p w14:paraId="7DC932B9" w14:textId="1B30B732" w:rsidR="003D76B2" w:rsidRPr="00925DD6" w:rsidRDefault="003D76B2" w:rsidP="003D76B2">
      <w:pPr>
        <w:pStyle w:val="ListParagraph"/>
        <w:numPr>
          <w:ilvl w:val="0"/>
          <w:numId w:val="26"/>
        </w:numPr>
        <w:spacing w:after="160" w:line="259" w:lineRule="auto"/>
        <w:jc w:val="both"/>
        <w:rPr>
          <w:rFonts w:eastAsia="Arial" w:cs="Arial"/>
        </w:rPr>
      </w:pPr>
      <w:r w:rsidRPr="1DAE747C">
        <w:rPr>
          <w:rFonts w:eastAsia="Arial" w:cs="Arial"/>
        </w:rPr>
        <w:t>Main root causes (e.g., delay in implementation of regimen transitions, over quantification of COVID-19 health product</w:t>
      </w:r>
      <w:r>
        <w:rPr>
          <w:rFonts w:eastAsia="Arial" w:cs="Arial"/>
        </w:rPr>
        <w:t>s</w:t>
      </w:r>
      <w:r w:rsidRPr="1DAE747C">
        <w:rPr>
          <w:rFonts w:eastAsia="Arial" w:cs="Arial"/>
        </w:rPr>
        <w:t>, donations, lack of visibility along in-country supply chain (push distribution system ...)</w:t>
      </w:r>
    </w:p>
    <w:p w14:paraId="2AABE356" w14:textId="77777777" w:rsidR="003D76B2" w:rsidRPr="00925DD6" w:rsidRDefault="003D76B2" w:rsidP="003D76B2">
      <w:pPr>
        <w:pStyle w:val="ListParagraph"/>
        <w:numPr>
          <w:ilvl w:val="0"/>
          <w:numId w:val="26"/>
        </w:numPr>
        <w:spacing w:after="160" w:line="259" w:lineRule="auto"/>
        <w:jc w:val="both"/>
        <w:rPr>
          <w:rFonts w:eastAsia="Arial" w:cs="Arial"/>
        </w:rPr>
      </w:pPr>
      <w:r w:rsidRPr="441601D1">
        <w:rPr>
          <w:rFonts w:eastAsia="Arial" w:cs="Arial"/>
        </w:rPr>
        <w:t>Mitigating actions recommended (e.g., reverse logistic, waste disposal, acceleration of transition plans, revision/cancelation of an upcoming order, improvement of governance over ICSC and distribution ...)</w:t>
      </w:r>
    </w:p>
    <w:p w14:paraId="1F3D2519" w14:textId="77777777" w:rsidR="003D76B2" w:rsidRPr="00925DD6" w:rsidRDefault="003D76B2" w:rsidP="003D76B2">
      <w:pPr>
        <w:pStyle w:val="ListParagraph"/>
        <w:numPr>
          <w:ilvl w:val="0"/>
          <w:numId w:val="26"/>
        </w:numPr>
        <w:spacing w:after="160" w:line="259" w:lineRule="auto"/>
        <w:jc w:val="both"/>
        <w:rPr>
          <w:rFonts w:eastAsia="Arial" w:cs="Arial"/>
        </w:rPr>
      </w:pPr>
      <w:r w:rsidRPr="1DAE747C">
        <w:rPr>
          <w:rFonts w:eastAsia="Arial" w:cs="Arial"/>
        </w:rPr>
        <w:t>Adequacy of equipment and processes available for waste disposal, including upcoming investments (e.g., expected development of a waste management plan, future procurement of incinerators...)</w:t>
      </w:r>
    </w:p>
    <w:p w14:paraId="07C4F52B" w14:textId="77777777" w:rsidR="003D76B2" w:rsidRPr="00925DD6" w:rsidRDefault="003D76B2" w:rsidP="003D76B2">
      <w:pPr>
        <w:pStyle w:val="ListParagraph"/>
        <w:numPr>
          <w:ilvl w:val="0"/>
          <w:numId w:val="26"/>
        </w:numPr>
        <w:spacing w:after="160" w:line="259" w:lineRule="auto"/>
        <w:jc w:val="both"/>
        <w:rPr>
          <w:rFonts w:eastAsia="Arial" w:cs="Arial"/>
        </w:rPr>
      </w:pPr>
      <w:r w:rsidRPr="1DAE747C">
        <w:rPr>
          <w:rFonts w:eastAsia="Arial" w:cs="Arial"/>
        </w:rPr>
        <w:t>If any recent or future investments, already funded, are expected to partly address any of the issues.</w:t>
      </w:r>
    </w:p>
    <w:p w14:paraId="29FE383B" w14:textId="77777777" w:rsidR="003D76B2" w:rsidRDefault="003D76B2" w:rsidP="003D76B2">
      <w:pPr>
        <w:pStyle w:val="ListParagraph"/>
        <w:numPr>
          <w:ilvl w:val="0"/>
          <w:numId w:val="26"/>
        </w:numPr>
        <w:spacing w:after="160" w:line="259" w:lineRule="auto"/>
        <w:jc w:val="both"/>
        <w:rPr>
          <w:rFonts w:eastAsia="Arial" w:cs="Arial"/>
        </w:rPr>
      </w:pPr>
      <w:r w:rsidRPr="441601D1">
        <w:rPr>
          <w:rFonts w:eastAsia="Arial" w:cs="Arial"/>
        </w:rPr>
        <w:t>What additional system strengthening activities should be prioritized in the short and medium terms</w:t>
      </w:r>
      <w:r>
        <w:rPr>
          <w:rFonts w:eastAsia="Arial" w:cs="Arial"/>
        </w:rPr>
        <w:t>.</w:t>
      </w:r>
    </w:p>
    <w:p w14:paraId="18BFFF76" w14:textId="77777777" w:rsidR="003D76B2" w:rsidRDefault="003D76B2" w:rsidP="003D76B2">
      <w:pPr>
        <w:jc w:val="both"/>
        <w:rPr>
          <w:rFonts w:eastAsia="Arial" w:cs="Arial"/>
        </w:rPr>
      </w:pPr>
    </w:p>
    <w:p w14:paraId="18B8050C" w14:textId="77777777" w:rsidR="003D76B2" w:rsidRDefault="003D76B2" w:rsidP="003D76B2">
      <w:pPr>
        <w:jc w:val="both"/>
        <w:rPr>
          <w:rFonts w:eastAsia="Arial" w:cs="Arial"/>
        </w:rPr>
      </w:pPr>
      <w:r w:rsidRPr="1DAE747C">
        <w:rPr>
          <w:rFonts w:eastAsia="Arial" w:cs="Arial"/>
        </w:rPr>
        <w:t xml:space="preserve">Country specific </w:t>
      </w:r>
      <w:proofErr w:type="spellStart"/>
      <w:r w:rsidRPr="1DAE747C">
        <w:rPr>
          <w:rFonts w:eastAsia="Arial" w:cs="Arial"/>
        </w:rPr>
        <w:t>ToRs</w:t>
      </w:r>
      <w:proofErr w:type="spellEnd"/>
      <w:r w:rsidRPr="1DAE747C">
        <w:rPr>
          <w:rFonts w:eastAsia="Arial" w:cs="Arial"/>
        </w:rPr>
        <w:t xml:space="preserve"> can be developed by each Country Team based on this document that should be considered as a list of standard requirements for that assurance.</w:t>
      </w:r>
    </w:p>
    <w:p w14:paraId="66A65328" w14:textId="77777777" w:rsidR="003D76B2" w:rsidRDefault="003D76B2" w:rsidP="003D76B2">
      <w:pPr>
        <w:jc w:val="both"/>
        <w:rPr>
          <w:rFonts w:eastAsia="Arial" w:cs="Arial"/>
        </w:rPr>
      </w:pPr>
    </w:p>
    <w:p w14:paraId="15D10F68" w14:textId="72871ED5" w:rsidR="003D76B2" w:rsidRPr="00525356" w:rsidRDefault="003D76B2" w:rsidP="003D76B2">
      <w:pPr>
        <w:jc w:val="both"/>
        <w:rPr>
          <w:rFonts w:eastAsia="Arial" w:cs="Arial"/>
        </w:rPr>
      </w:pPr>
    </w:p>
    <w:p w14:paraId="1048D583" w14:textId="77777777" w:rsidR="003D76B2" w:rsidRPr="001A45FF" w:rsidRDefault="003D76B2" w:rsidP="003D76B2">
      <w:pPr>
        <w:pStyle w:val="ListParagraph"/>
        <w:jc w:val="both"/>
        <w:rPr>
          <w:rFonts w:cs="Arial"/>
          <w:b/>
          <w:bCs/>
        </w:rPr>
      </w:pPr>
    </w:p>
    <w:p w14:paraId="5533B611" w14:textId="77777777" w:rsidR="003D76B2" w:rsidRPr="00E03D59" w:rsidRDefault="003D76B2" w:rsidP="003D76B2">
      <w:pPr>
        <w:jc w:val="both"/>
        <w:rPr>
          <w:rFonts w:eastAsia="Arial" w:cs="Arial"/>
        </w:rPr>
      </w:pPr>
    </w:p>
    <w:p w14:paraId="3BDC7BD9" w14:textId="77777777" w:rsidR="003D76B2" w:rsidRPr="000F596B" w:rsidRDefault="003D76B2" w:rsidP="003D76B2">
      <w:pPr>
        <w:jc w:val="both"/>
        <w:rPr>
          <w:rFonts w:cs="Arial"/>
          <w:szCs w:val="24"/>
        </w:rPr>
      </w:pPr>
    </w:p>
    <w:p w14:paraId="547F24F2" w14:textId="77777777" w:rsidR="003D76B2" w:rsidRPr="00E81AC0" w:rsidRDefault="003D76B2" w:rsidP="003D76B2">
      <w:pPr>
        <w:jc w:val="both"/>
      </w:pPr>
    </w:p>
    <w:sectPr w:rsidR="003D76B2" w:rsidRPr="00E81AC0" w:rsidSect="00F6756A">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C3A0" w14:textId="77777777" w:rsidR="003D76B2" w:rsidRDefault="003D76B2" w:rsidP="0013691B">
      <w:pPr>
        <w:spacing w:after="0" w:line="240" w:lineRule="auto"/>
      </w:pPr>
      <w:r>
        <w:separator/>
      </w:r>
    </w:p>
  </w:endnote>
  <w:endnote w:type="continuationSeparator" w:id="0">
    <w:p w14:paraId="47146CC2" w14:textId="77777777" w:rsidR="003D76B2" w:rsidRDefault="003D76B2"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C1A3"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74E5B325" w14:textId="77777777" w:rsidTr="00F602C6">
      <w:trPr>
        <w:trHeight w:val="283"/>
      </w:trPr>
      <w:tc>
        <w:tcPr>
          <w:tcW w:w="10204" w:type="dxa"/>
          <w:gridSpan w:val="2"/>
          <w:tcBorders>
            <w:top w:val="single" w:sz="4" w:space="0" w:color="auto"/>
          </w:tcBorders>
          <w:vAlign w:val="bottom"/>
        </w:tcPr>
        <w:p w14:paraId="46242D2B" w14:textId="77777777" w:rsidR="004C6793" w:rsidRPr="008F46F0" w:rsidRDefault="004C6793" w:rsidP="00F602C6">
          <w:pPr>
            <w:pStyle w:val="PageNo"/>
          </w:pPr>
          <w:bookmarkStart w:id="0" w:name="_Hlk73008952"/>
        </w:p>
      </w:tc>
    </w:tr>
    <w:tr w:rsidR="004C6793" w14:paraId="22DAC964" w14:textId="77777777" w:rsidTr="00F602C6">
      <w:sdt>
        <w:sdtPr>
          <w:alias w:val="Form.DocLang.Logo_horizontal"/>
          <w:tag w:val="{&quot;templafy&quot;:{&quot;id&quot;:&quot;b731db14-4939-444c-ac01-66c42fb6b545&quot;}}"/>
          <w:id w:val="1796407923"/>
          <w:picture/>
        </w:sdtPr>
        <w:sdtEndPr/>
        <w:sdtContent>
          <w:tc>
            <w:tcPr>
              <w:tcW w:w="5102" w:type="dxa"/>
              <w:vAlign w:val="bottom"/>
            </w:tcPr>
            <w:p w14:paraId="2B167B31" w14:textId="77777777" w:rsidR="004C6793" w:rsidRDefault="0028306D" w:rsidP="00F602C6">
              <w:pPr>
                <w:pStyle w:val="Footer"/>
              </w:pPr>
              <w:r>
                <w:rPr>
                  <w:noProof/>
                </w:rPr>
                <w:drawing>
                  <wp:inline distT="0" distB="0" distL="0" distR="0" wp14:anchorId="0CB9EE75" wp14:editId="53FDC28A">
                    <wp:extent cx="1620259" cy="152280"/>
                    <wp:effectExtent l="0" t="0" r="0" b="0"/>
                    <wp:docPr id="397382242" name="Picture 4"/>
                    <wp:cNvGraphicFramePr/>
                    <a:graphic xmlns:a="http://schemas.openxmlformats.org/drawingml/2006/main">
                      <a:graphicData uri="http://schemas.openxmlformats.org/drawingml/2006/picture">
                        <pic:pic xmlns:pic="http://schemas.openxmlformats.org/drawingml/2006/picture">
                          <pic:nvPicPr>
                            <pic:cNvPr id="39738224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1880DE3F"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DD3B850" w14:textId="77777777" w:rsidTr="00F602C6">
      <w:trPr>
        <w:trHeight w:val="454"/>
      </w:trPr>
      <w:tc>
        <w:tcPr>
          <w:tcW w:w="10204" w:type="dxa"/>
          <w:gridSpan w:val="2"/>
          <w:vAlign w:val="bottom"/>
        </w:tcPr>
        <w:p w14:paraId="3E6CC523" w14:textId="77777777" w:rsidR="00F602C6" w:rsidRPr="00955A75" w:rsidRDefault="00F602C6" w:rsidP="00F602C6">
          <w:pPr>
            <w:pStyle w:val="Footer"/>
            <w:rPr>
              <w:sz w:val="14"/>
              <w:szCs w:val="14"/>
            </w:rPr>
          </w:pPr>
        </w:p>
      </w:tc>
    </w:tr>
    <w:bookmarkEnd w:id="0"/>
  </w:tbl>
  <w:p w14:paraId="6E52C4C7"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0D06C15F" w14:textId="77777777" w:rsidTr="000E3465">
      <w:trPr>
        <w:trHeight w:val="283"/>
      </w:trPr>
      <w:tc>
        <w:tcPr>
          <w:tcW w:w="10204" w:type="dxa"/>
          <w:gridSpan w:val="2"/>
          <w:tcBorders>
            <w:top w:val="single" w:sz="4" w:space="0" w:color="auto"/>
          </w:tcBorders>
          <w:vAlign w:val="bottom"/>
        </w:tcPr>
        <w:p w14:paraId="21B3E28B" w14:textId="77777777" w:rsidR="00026D48" w:rsidRPr="008F46F0" w:rsidRDefault="00026D48" w:rsidP="00026D48">
          <w:pPr>
            <w:pStyle w:val="PageNo"/>
          </w:pPr>
        </w:p>
      </w:tc>
    </w:tr>
    <w:tr w:rsidR="00026D48" w14:paraId="57FB326C" w14:textId="77777777" w:rsidTr="000E3465">
      <w:sdt>
        <w:sdtPr>
          <w:alias w:val="Form.DocLang.Logo_horizontal"/>
          <w:tag w:val="{&quot;templafy&quot;:{&quot;id&quot;:&quot;765b58d9-2550-4a32-a93e-76c29b5da123&quot;}}"/>
          <w:id w:val="-739715887"/>
          <w:picture/>
        </w:sdtPr>
        <w:sdtEndPr/>
        <w:sdtContent>
          <w:tc>
            <w:tcPr>
              <w:tcW w:w="5102" w:type="dxa"/>
              <w:vAlign w:val="bottom"/>
            </w:tcPr>
            <w:p w14:paraId="573508F1" w14:textId="77777777" w:rsidR="00026D48" w:rsidRDefault="0028306D" w:rsidP="00026D48">
              <w:pPr>
                <w:pStyle w:val="Footer"/>
              </w:pPr>
              <w:r>
                <w:rPr>
                  <w:noProof/>
                </w:rPr>
                <w:drawing>
                  <wp:inline distT="0" distB="0" distL="0" distR="0" wp14:anchorId="7BF00A4F" wp14:editId="42C8863D">
                    <wp:extent cx="1620259" cy="152280"/>
                    <wp:effectExtent l="0" t="0" r="0" b="0"/>
                    <wp:docPr id="320857245" name="Picture 3"/>
                    <wp:cNvGraphicFramePr/>
                    <a:graphic xmlns:a="http://schemas.openxmlformats.org/drawingml/2006/main">
                      <a:graphicData uri="http://schemas.openxmlformats.org/drawingml/2006/picture">
                        <pic:pic xmlns:pic="http://schemas.openxmlformats.org/drawingml/2006/picture">
                          <pic:nvPicPr>
                            <pic:cNvPr id="320857245"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8A4DE91"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B104653" w14:textId="77777777" w:rsidTr="000E3465">
      <w:trPr>
        <w:trHeight w:val="454"/>
      </w:trPr>
      <w:tc>
        <w:tcPr>
          <w:tcW w:w="10204" w:type="dxa"/>
          <w:gridSpan w:val="2"/>
          <w:vAlign w:val="bottom"/>
        </w:tcPr>
        <w:p w14:paraId="5ACA3997" w14:textId="77777777" w:rsidR="00026D48" w:rsidRPr="00955A75" w:rsidRDefault="00026D48" w:rsidP="00026D48">
          <w:pPr>
            <w:pStyle w:val="Footer"/>
            <w:rPr>
              <w:sz w:val="14"/>
              <w:szCs w:val="14"/>
            </w:rPr>
          </w:pPr>
        </w:p>
      </w:tc>
    </w:tr>
  </w:tbl>
  <w:p w14:paraId="5A66AA47"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C739" w14:textId="77777777" w:rsidR="003D76B2" w:rsidRDefault="003D76B2" w:rsidP="0013691B">
      <w:pPr>
        <w:spacing w:after="0" w:line="240" w:lineRule="auto"/>
      </w:pPr>
      <w:r>
        <w:separator/>
      </w:r>
    </w:p>
  </w:footnote>
  <w:footnote w:type="continuationSeparator" w:id="0">
    <w:p w14:paraId="406EB796" w14:textId="77777777" w:rsidR="003D76B2" w:rsidRDefault="003D76B2" w:rsidP="0013691B">
      <w:pPr>
        <w:spacing w:after="0" w:line="240" w:lineRule="auto"/>
      </w:pPr>
      <w:r>
        <w:continuationSeparator/>
      </w:r>
    </w:p>
  </w:footnote>
  <w:footnote w:id="1">
    <w:p w14:paraId="14880D39" w14:textId="77777777" w:rsidR="003D76B2" w:rsidRDefault="003D76B2" w:rsidP="003D76B2">
      <w:pPr>
        <w:pStyle w:val="FootnoteText"/>
      </w:pPr>
      <w:r>
        <w:rPr>
          <w:rStyle w:val="FootnoteReference"/>
        </w:rPr>
        <w:footnoteRef/>
      </w:r>
      <w:r>
        <w:t xml:space="preserve"> Source: </w:t>
      </w:r>
      <w:hyperlink r:id="rId1" w:history="1">
        <w:r w:rsidRPr="00244168">
          <w:rPr>
            <w:rStyle w:val="Hyperlink"/>
          </w:rPr>
          <w:t>Funding Approved for C</w:t>
        </w:r>
        <w:r w:rsidRPr="00244168">
          <w:rPr>
            <w:rStyle w:val="Hyperlink"/>
          </w:rPr>
          <w:t>O</w:t>
        </w:r>
        <w:r w:rsidRPr="00244168">
          <w:rPr>
            <w:rStyle w:val="Hyperlink"/>
          </w:rPr>
          <w:t>VID-19 Response</w:t>
        </w:r>
      </w:hyperlink>
      <w:r>
        <w:t xml:space="preserve"> (HPWMS interventions based on Grant Detail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8457"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8192"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4428E328" w14:textId="77777777" w:rsidTr="007E5B22">
      <w:trPr>
        <w:trHeight w:val="454"/>
      </w:trPr>
      <w:sdt>
        <w:sdtPr>
          <w:alias w:val="Form.DocLang.Logo_stacked_colour"/>
          <w:tag w:val="{&quot;templafy&quot;:{&quot;id&quot;:&quot;27660399-899d-40c0-ba1a-b719a6034ca6&quot;}}"/>
          <w:id w:val="471336006"/>
          <w:lock w:val="contentLocked"/>
          <w:picture/>
        </w:sdtPr>
        <w:sdtEndPr/>
        <w:sdtContent>
          <w:tc>
            <w:tcPr>
              <w:tcW w:w="2268" w:type="dxa"/>
              <w:tcBorders>
                <w:top w:val="nil"/>
                <w:left w:val="nil"/>
                <w:bottom w:val="nil"/>
                <w:right w:val="nil"/>
              </w:tcBorders>
            </w:tcPr>
            <w:p w14:paraId="498D1344" w14:textId="77777777" w:rsidR="00885674" w:rsidRDefault="00885674" w:rsidP="00885674">
              <w:pPr>
                <w:pStyle w:val="Header"/>
              </w:pPr>
              <w:r>
                <w:rPr>
                  <w:noProof/>
                </w:rPr>
                <w:drawing>
                  <wp:inline distT="0" distB="0" distL="0" distR="0" wp14:anchorId="491CFF46" wp14:editId="787A03C8">
                    <wp:extent cx="1437770" cy="493200"/>
                    <wp:effectExtent l="0" t="0" r="0" b="0"/>
                    <wp:docPr id="519745815"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19745815"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6F9F4BFF" w14:textId="77777777" w:rsidR="00026D48" w:rsidRDefault="00026D48">
    <w:pPr>
      <w:pStyle w:val="Header"/>
    </w:pPr>
  </w:p>
  <w:p w14:paraId="4D336701" w14:textId="77777777" w:rsidR="00885674" w:rsidRDefault="00885674">
    <w:pPr>
      <w:pStyle w:val="Header"/>
    </w:pPr>
  </w:p>
  <w:p w14:paraId="48036475"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7FD9E"/>
    <w:multiLevelType w:val="hybridMultilevel"/>
    <w:tmpl w:val="31AE26E6"/>
    <w:lvl w:ilvl="0" w:tplc="BF56CD10">
      <w:start w:val="1"/>
      <w:numFmt w:val="bullet"/>
      <w:lvlText w:val="-"/>
      <w:lvlJc w:val="left"/>
      <w:pPr>
        <w:ind w:left="720" w:hanging="360"/>
      </w:pPr>
      <w:rPr>
        <w:rFonts w:ascii="Calibri" w:hAnsi="Calibri" w:hint="default"/>
      </w:rPr>
    </w:lvl>
    <w:lvl w:ilvl="1" w:tplc="7E5C25F8">
      <w:start w:val="1"/>
      <w:numFmt w:val="bullet"/>
      <w:lvlText w:val="o"/>
      <w:lvlJc w:val="left"/>
      <w:pPr>
        <w:ind w:left="1440" w:hanging="360"/>
      </w:pPr>
      <w:rPr>
        <w:rFonts w:ascii="Courier New" w:hAnsi="Courier New" w:hint="default"/>
      </w:rPr>
    </w:lvl>
    <w:lvl w:ilvl="2" w:tplc="E8EE953E">
      <w:start w:val="1"/>
      <w:numFmt w:val="bullet"/>
      <w:lvlText w:val=""/>
      <w:lvlJc w:val="left"/>
      <w:pPr>
        <w:ind w:left="2160" w:hanging="360"/>
      </w:pPr>
      <w:rPr>
        <w:rFonts w:ascii="Wingdings" w:hAnsi="Wingdings" w:hint="default"/>
      </w:rPr>
    </w:lvl>
    <w:lvl w:ilvl="3" w:tplc="EBFA61D2">
      <w:start w:val="1"/>
      <w:numFmt w:val="bullet"/>
      <w:lvlText w:val=""/>
      <w:lvlJc w:val="left"/>
      <w:pPr>
        <w:ind w:left="2880" w:hanging="360"/>
      </w:pPr>
      <w:rPr>
        <w:rFonts w:ascii="Symbol" w:hAnsi="Symbol" w:hint="default"/>
      </w:rPr>
    </w:lvl>
    <w:lvl w:ilvl="4" w:tplc="08C82A9C">
      <w:start w:val="1"/>
      <w:numFmt w:val="bullet"/>
      <w:lvlText w:val="o"/>
      <w:lvlJc w:val="left"/>
      <w:pPr>
        <w:ind w:left="3600" w:hanging="360"/>
      </w:pPr>
      <w:rPr>
        <w:rFonts w:ascii="Courier New" w:hAnsi="Courier New" w:hint="default"/>
      </w:rPr>
    </w:lvl>
    <w:lvl w:ilvl="5" w:tplc="FCF845EA">
      <w:start w:val="1"/>
      <w:numFmt w:val="bullet"/>
      <w:lvlText w:val=""/>
      <w:lvlJc w:val="left"/>
      <w:pPr>
        <w:ind w:left="4320" w:hanging="360"/>
      </w:pPr>
      <w:rPr>
        <w:rFonts w:ascii="Wingdings" w:hAnsi="Wingdings" w:hint="default"/>
      </w:rPr>
    </w:lvl>
    <w:lvl w:ilvl="6" w:tplc="6FC2CB92">
      <w:start w:val="1"/>
      <w:numFmt w:val="bullet"/>
      <w:lvlText w:val=""/>
      <w:lvlJc w:val="left"/>
      <w:pPr>
        <w:ind w:left="5040" w:hanging="360"/>
      </w:pPr>
      <w:rPr>
        <w:rFonts w:ascii="Symbol" w:hAnsi="Symbol" w:hint="default"/>
      </w:rPr>
    </w:lvl>
    <w:lvl w:ilvl="7" w:tplc="1EAAD48A">
      <w:start w:val="1"/>
      <w:numFmt w:val="bullet"/>
      <w:lvlText w:val="o"/>
      <w:lvlJc w:val="left"/>
      <w:pPr>
        <w:ind w:left="5760" w:hanging="360"/>
      </w:pPr>
      <w:rPr>
        <w:rFonts w:ascii="Courier New" w:hAnsi="Courier New" w:hint="default"/>
      </w:rPr>
    </w:lvl>
    <w:lvl w:ilvl="8" w:tplc="5E3EDA3A">
      <w:start w:val="1"/>
      <w:numFmt w:val="bullet"/>
      <w:lvlText w:val=""/>
      <w:lvlJc w:val="left"/>
      <w:pPr>
        <w:ind w:left="6480" w:hanging="360"/>
      </w:pPr>
      <w:rPr>
        <w:rFonts w:ascii="Wingdings" w:hAnsi="Wingdings" w:hint="default"/>
      </w:rPr>
    </w:lvl>
  </w:abstractNum>
  <w:abstractNum w:abstractNumId="11"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5AD39"/>
    <w:multiLevelType w:val="hybridMultilevel"/>
    <w:tmpl w:val="8B6C1416"/>
    <w:lvl w:ilvl="0" w:tplc="F58A6C6A">
      <w:start w:val="1"/>
      <w:numFmt w:val="bullet"/>
      <w:lvlText w:val="-"/>
      <w:lvlJc w:val="left"/>
      <w:pPr>
        <w:ind w:left="720" w:hanging="360"/>
      </w:pPr>
      <w:rPr>
        <w:rFonts w:ascii="Calibri" w:hAnsi="Calibri" w:hint="default"/>
      </w:rPr>
    </w:lvl>
    <w:lvl w:ilvl="1" w:tplc="8C68DE6C">
      <w:start w:val="1"/>
      <w:numFmt w:val="bullet"/>
      <w:lvlText w:val="o"/>
      <w:lvlJc w:val="left"/>
      <w:pPr>
        <w:ind w:left="1440" w:hanging="360"/>
      </w:pPr>
      <w:rPr>
        <w:rFonts w:ascii="Courier New" w:hAnsi="Courier New" w:hint="default"/>
      </w:rPr>
    </w:lvl>
    <w:lvl w:ilvl="2" w:tplc="5DFC0BF0">
      <w:start w:val="1"/>
      <w:numFmt w:val="bullet"/>
      <w:lvlText w:val=""/>
      <w:lvlJc w:val="left"/>
      <w:pPr>
        <w:ind w:left="2160" w:hanging="360"/>
      </w:pPr>
      <w:rPr>
        <w:rFonts w:ascii="Wingdings" w:hAnsi="Wingdings" w:hint="default"/>
      </w:rPr>
    </w:lvl>
    <w:lvl w:ilvl="3" w:tplc="38905DD6">
      <w:start w:val="1"/>
      <w:numFmt w:val="bullet"/>
      <w:lvlText w:val=""/>
      <w:lvlJc w:val="left"/>
      <w:pPr>
        <w:ind w:left="2880" w:hanging="360"/>
      </w:pPr>
      <w:rPr>
        <w:rFonts w:ascii="Symbol" w:hAnsi="Symbol" w:hint="default"/>
      </w:rPr>
    </w:lvl>
    <w:lvl w:ilvl="4" w:tplc="795C483E">
      <w:start w:val="1"/>
      <w:numFmt w:val="bullet"/>
      <w:lvlText w:val="o"/>
      <w:lvlJc w:val="left"/>
      <w:pPr>
        <w:ind w:left="3600" w:hanging="360"/>
      </w:pPr>
      <w:rPr>
        <w:rFonts w:ascii="Courier New" w:hAnsi="Courier New" w:hint="default"/>
      </w:rPr>
    </w:lvl>
    <w:lvl w:ilvl="5" w:tplc="E154DBCE">
      <w:start w:val="1"/>
      <w:numFmt w:val="bullet"/>
      <w:lvlText w:val=""/>
      <w:lvlJc w:val="left"/>
      <w:pPr>
        <w:ind w:left="4320" w:hanging="360"/>
      </w:pPr>
      <w:rPr>
        <w:rFonts w:ascii="Wingdings" w:hAnsi="Wingdings" w:hint="default"/>
      </w:rPr>
    </w:lvl>
    <w:lvl w:ilvl="6" w:tplc="1FD46C90">
      <w:start w:val="1"/>
      <w:numFmt w:val="bullet"/>
      <w:lvlText w:val=""/>
      <w:lvlJc w:val="left"/>
      <w:pPr>
        <w:ind w:left="5040" w:hanging="360"/>
      </w:pPr>
      <w:rPr>
        <w:rFonts w:ascii="Symbol" w:hAnsi="Symbol" w:hint="default"/>
      </w:rPr>
    </w:lvl>
    <w:lvl w:ilvl="7" w:tplc="2B969B1C">
      <w:start w:val="1"/>
      <w:numFmt w:val="bullet"/>
      <w:lvlText w:val="o"/>
      <w:lvlJc w:val="left"/>
      <w:pPr>
        <w:ind w:left="5760" w:hanging="360"/>
      </w:pPr>
      <w:rPr>
        <w:rFonts w:ascii="Courier New" w:hAnsi="Courier New" w:hint="default"/>
      </w:rPr>
    </w:lvl>
    <w:lvl w:ilvl="8" w:tplc="2A9AB610">
      <w:start w:val="1"/>
      <w:numFmt w:val="bullet"/>
      <w:lvlText w:val=""/>
      <w:lvlJc w:val="left"/>
      <w:pPr>
        <w:ind w:left="6480" w:hanging="360"/>
      </w:pPr>
      <w:rPr>
        <w:rFonts w:ascii="Wingdings" w:hAnsi="Wingdings" w:hint="default"/>
      </w:rPr>
    </w:lvl>
  </w:abstractNum>
  <w:abstractNum w:abstractNumId="15" w15:restartNumberingAfterBreak="0">
    <w:nsid w:val="1C027D41"/>
    <w:multiLevelType w:val="hybridMultilevel"/>
    <w:tmpl w:val="39FE173C"/>
    <w:lvl w:ilvl="0" w:tplc="B53E9614">
      <w:start w:val="1"/>
      <w:numFmt w:val="decimal"/>
      <w:lvlText w:val="%1."/>
      <w:lvlJc w:val="left"/>
      <w:pPr>
        <w:ind w:left="720" w:hanging="360"/>
      </w:pPr>
    </w:lvl>
    <w:lvl w:ilvl="1" w:tplc="1F008714">
      <w:start w:val="1"/>
      <w:numFmt w:val="lowerLetter"/>
      <w:lvlText w:val="%2."/>
      <w:lvlJc w:val="left"/>
      <w:pPr>
        <w:ind w:left="1440" w:hanging="360"/>
      </w:pPr>
    </w:lvl>
    <w:lvl w:ilvl="2" w:tplc="84540F82">
      <w:start w:val="1"/>
      <w:numFmt w:val="lowerRoman"/>
      <w:lvlText w:val="%3."/>
      <w:lvlJc w:val="right"/>
      <w:pPr>
        <w:ind w:left="2160" w:hanging="180"/>
      </w:pPr>
    </w:lvl>
    <w:lvl w:ilvl="3" w:tplc="602847BE">
      <w:start w:val="1"/>
      <w:numFmt w:val="decimal"/>
      <w:lvlText w:val="%4."/>
      <w:lvlJc w:val="left"/>
      <w:pPr>
        <w:ind w:left="2880" w:hanging="360"/>
      </w:pPr>
    </w:lvl>
    <w:lvl w:ilvl="4" w:tplc="C0643166">
      <w:start w:val="1"/>
      <w:numFmt w:val="lowerLetter"/>
      <w:lvlText w:val="%5."/>
      <w:lvlJc w:val="left"/>
      <w:pPr>
        <w:ind w:left="3600" w:hanging="360"/>
      </w:pPr>
    </w:lvl>
    <w:lvl w:ilvl="5" w:tplc="702A9398">
      <w:start w:val="1"/>
      <w:numFmt w:val="lowerRoman"/>
      <w:lvlText w:val="%6."/>
      <w:lvlJc w:val="right"/>
      <w:pPr>
        <w:ind w:left="4320" w:hanging="180"/>
      </w:pPr>
    </w:lvl>
    <w:lvl w:ilvl="6" w:tplc="AA8E956E">
      <w:start w:val="1"/>
      <w:numFmt w:val="decimal"/>
      <w:lvlText w:val="%7."/>
      <w:lvlJc w:val="left"/>
      <w:pPr>
        <w:ind w:left="5040" w:hanging="360"/>
      </w:pPr>
    </w:lvl>
    <w:lvl w:ilvl="7" w:tplc="3B7A377A">
      <w:start w:val="1"/>
      <w:numFmt w:val="lowerLetter"/>
      <w:lvlText w:val="%8."/>
      <w:lvlJc w:val="left"/>
      <w:pPr>
        <w:ind w:left="5760" w:hanging="360"/>
      </w:pPr>
    </w:lvl>
    <w:lvl w:ilvl="8" w:tplc="D138E1D2">
      <w:start w:val="1"/>
      <w:numFmt w:val="lowerRoman"/>
      <w:lvlText w:val="%9."/>
      <w:lvlJc w:val="right"/>
      <w:pPr>
        <w:ind w:left="6480" w:hanging="180"/>
      </w:pPr>
    </w:lvl>
  </w:abstractNum>
  <w:abstractNum w:abstractNumId="16"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092AB1"/>
    <w:multiLevelType w:val="hybridMultilevel"/>
    <w:tmpl w:val="3DB253BA"/>
    <w:lvl w:ilvl="0" w:tplc="9FBEB494">
      <w:start w:val="1"/>
      <w:numFmt w:val="bullet"/>
      <w:lvlText w:val="-"/>
      <w:lvlJc w:val="left"/>
      <w:pPr>
        <w:ind w:left="720" w:hanging="360"/>
      </w:pPr>
      <w:rPr>
        <w:rFonts w:ascii="Calibri" w:hAnsi="Calibri" w:hint="default"/>
      </w:rPr>
    </w:lvl>
    <w:lvl w:ilvl="1" w:tplc="3C92336A">
      <w:start w:val="1"/>
      <w:numFmt w:val="bullet"/>
      <w:lvlText w:val="o"/>
      <w:lvlJc w:val="left"/>
      <w:pPr>
        <w:ind w:left="1440" w:hanging="360"/>
      </w:pPr>
      <w:rPr>
        <w:rFonts w:ascii="Courier New" w:hAnsi="Courier New" w:hint="default"/>
      </w:rPr>
    </w:lvl>
    <w:lvl w:ilvl="2" w:tplc="BD7264E2">
      <w:start w:val="1"/>
      <w:numFmt w:val="bullet"/>
      <w:lvlText w:val=""/>
      <w:lvlJc w:val="left"/>
      <w:pPr>
        <w:ind w:left="2160" w:hanging="360"/>
      </w:pPr>
      <w:rPr>
        <w:rFonts w:ascii="Wingdings" w:hAnsi="Wingdings" w:hint="default"/>
      </w:rPr>
    </w:lvl>
    <w:lvl w:ilvl="3" w:tplc="A26C9A6E">
      <w:start w:val="1"/>
      <w:numFmt w:val="bullet"/>
      <w:lvlText w:val=""/>
      <w:lvlJc w:val="left"/>
      <w:pPr>
        <w:ind w:left="2880" w:hanging="360"/>
      </w:pPr>
      <w:rPr>
        <w:rFonts w:ascii="Symbol" w:hAnsi="Symbol" w:hint="default"/>
      </w:rPr>
    </w:lvl>
    <w:lvl w:ilvl="4" w:tplc="130880CE">
      <w:start w:val="1"/>
      <w:numFmt w:val="bullet"/>
      <w:lvlText w:val="o"/>
      <w:lvlJc w:val="left"/>
      <w:pPr>
        <w:ind w:left="3600" w:hanging="360"/>
      </w:pPr>
      <w:rPr>
        <w:rFonts w:ascii="Courier New" w:hAnsi="Courier New" w:hint="default"/>
      </w:rPr>
    </w:lvl>
    <w:lvl w:ilvl="5" w:tplc="F31C1334">
      <w:start w:val="1"/>
      <w:numFmt w:val="bullet"/>
      <w:lvlText w:val=""/>
      <w:lvlJc w:val="left"/>
      <w:pPr>
        <w:ind w:left="4320" w:hanging="360"/>
      </w:pPr>
      <w:rPr>
        <w:rFonts w:ascii="Wingdings" w:hAnsi="Wingdings" w:hint="default"/>
      </w:rPr>
    </w:lvl>
    <w:lvl w:ilvl="6" w:tplc="1F0675DC">
      <w:start w:val="1"/>
      <w:numFmt w:val="bullet"/>
      <w:lvlText w:val=""/>
      <w:lvlJc w:val="left"/>
      <w:pPr>
        <w:ind w:left="5040" w:hanging="360"/>
      </w:pPr>
      <w:rPr>
        <w:rFonts w:ascii="Symbol" w:hAnsi="Symbol" w:hint="default"/>
      </w:rPr>
    </w:lvl>
    <w:lvl w:ilvl="7" w:tplc="0A9E8968">
      <w:start w:val="1"/>
      <w:numFmt w:val="bullet"/>
      <w:lvlText w:val="o"/>
      <w:lvlJc w:val="left"/>
      <w:pPr>
        <w:ind w:left="5760" w:hanging="360"/>
      </w:pPr>
      <w:rPr>
        <w:rFonts w:ascii="Courier New" w:hAnsi="Courier New" w:hint="default"/>
      </w:rPr>
    </w:lvl>
    <w:lvl w:ilvl="8" w:tplc="C706EF3A">
      <w:start w:val="1"/>
      <w:numFmt w:val="bullet"/>
      <w:lvlText w:val=""/>
      <w:lvlJc w:val="left"/>
      <w:pPr>
        <w:ind w:left="6480" w:hanging="360"/>
      </w:pPr>
      <w:rPr>
        <w:rFonts w:ascii="Wingdings" w:hAnsi="Wingdings" w:hint="default"/>
      </w:r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4D6F7E98"/>
    <w:multiLevelType w:val="hybridMultilevel"/>
    <w:tmpl w:val="02EA1A2A"/>
    <w:lvl w:ilvl="0" w:tplc="05B66E70">
      <w:start w:val="1"/>
      <w:numFmt w:val="bullet"/>
      <w:lvlText w:val="-"/>
      <w:lvlJc w:val="left"/>
      <w:pPr>
        <w:ind w:left="720" w:hanging="360"/>
      </w:pPr>
      <w:rPr>
        <w:rFonts w:ascii="Calibri" w:hAnsi="Calibri" w:hint="default"/>
      </w:rPr>
    </w:lvl>
    <w:lvl w:ilvl="1" w:tplc="2860740A">
      <w:start w:val="1"/>
      <w:numFmt w:val="bullet"/>
      <w:lvlText w:val="o"/>
      <w:lvlJc w:val="left"/>
      <w:pPr>
        <w:ind w:left="1440" w:hanging="360"/>
      </w:pPr>
      <w:rPr>
        <w:rFonts w:ascii="Courier New" w:hAnsi="Courier New" w:hint="default"/>
      </w:rPr>
    </w:lvl>
    <w:lvl w:ilvl="2" w:tplc="2852596C">
      <w:start w:val="1"/>
      <w:numFmt w:val="bullet"/>
      <w:lvlText w:val=""/>
      <w:lvlJc w:val="left"/>
      <w:pPr>
        <w:ind w:left="2160" w:hanging="360"/>
      </w:pPr>
      <w:rPr>
        <w:rFonts w:ascii="Wingdings" w:hAnsi="Wingdings" w:hint="default"/>
      </w:rPr>
    </w:lvl>
    <w:lvl w:ilvl="3" w:tplc="E9A6465C">
      <w:start w:val="1"/>
      <w:numFmt w:val="bullet"/>
      <w:lvlText w:val=""/>
      <w:lvlJc w:val="left"/>
      <w:pPr>
        <w:ind w:left="2880" w:hanging="360"/>
      </w:pPr>
      <w:rPr>
        <w:rFonts w:ascii="Symbol" w:hAnsi="Symbol" w:hint="default"/>
      </w:rPr>
    </w:lvl>
    <w:lvl w:ilvl="4" w:tplc="CC36D772">
      <w:start w:val="1"/>
      <w:numFmt w:val="bullet"/>
      <w:lvlText w:val="o"/>
      <w:lvlJc w:val="left"/>
      <w:pPr>
        <w:ind w:left="3600" w:hanging="360"/>
      </w:pPr>
      <w:rPr>
        <w:rFonts w:ascii="Courier New" w:hAnsi="Courier New" w:hint="default"/>
      </w:rPr>
    </w:lvl>
    <w:lvl w:ilvl="5" w:tplc="B97654DC">
      <w:start w:val="1"/>
      <w:numFmt w:val="bullet"/>
      <w:lvlText w:val=""/>
      <w:lvlJc w:val="left"/>
      <w:pPr>
        <w:ind w:left="4320" w:hanging="360"/>
      </w:pPr>
      <w:rPr>
        <w:rFonts w:ascii="Wingdings" w:hAnsi="Wingdings" w:hint="default"/>
      </w:rPr>
    </w:lvl>
    <w:lvl w:ilvl="6" w:tplc="09F2D880">
      <w:start w:val="1"/>
      <w:numFmt w:val="bullet"/>
      <w:lvlText w:val=""/>
      <w:lvlJc w:val="left"/>
      <w:pPr>
        <w:ind w:left="5040" w:hanging="360"/>
      </w:pPr>
      <w:rPr>
        <w:rFonts w:ascii="Symbol" w:hAnsi="Symbol" w:hint="default"/>
      </w:rPr>
    </w:lvl>
    <w:lvl w:ilvl="7" w:tplc="548605E4">
      <w:start w:val="1"/>
      <w:numFmt w:val="bullet"/>
      <w:lvlText w:val="o"/>
      <w:lvlJc w:val="left"/>
      <w:pPr>
        <w:ind w:left="5760" w:hanging="360"/>
      </w:pPr>
      <w:rPr>
        <w:rFonts w:ascii="Courier New" w:hAnsi="Courier New" w:hint="default"/>
      </w:rPr>
    </w:lvl>
    <w:lvl w:ilvl="8" w:tplc="7C6252E6">
      <w:start w:val="1"/>
      <w:numFmt w:val="bullet"/>
      <w:lvlText w:val=""/>
      <w:lvlJc w:val="left"/>
      <w:pPr>
        <w:ind w:left="6480" w:hanging="360"/>
      </w:pPr>
      <w:rPr>
        <w:rFonts w:ascii="Wingdings" w:hAnsi="Wingdings" w:hint="default"/>
      </w:rPr>
    </w:lvl>
  </w:abstractNum>
  <w:abstractNum w:abstractNumId="22" w15:restartNumberingAfterBreak="0">
    <w:nsid w:val="4EAC7247"/>
    <w:multiLevelType w:val="multilevel"/>
    <w:tmpl w:val="6926581A"/>
    <w:numStyleLink w:val="ArticleSection"/>
  </w:abstractNum>
  <w:abstractNum w:abstractNumId="2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5"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4F4CE7"/>
    <w:multiLevelType w:val="hybridMultilevel"/>
    <w:tmpl w:val="52B682C8"/>
    <w:lvl w:ilvl="0" w:tplc="A2C60A0E">
      <w:start w:val="1"/>
      <w:numFmt w:val="bullet"/>
      <w:lvlText w:val="-"/>
      <w:lvlJc w:val="left"/>
      <w:pPr>
        <w:ind w:left="720" w:hanging="360"/>
      </w:pPr>
      <w:rPr>
        <w:rFonts w:ascii="Calibri" w:hAnsi="Calibri" w:hint="default"/>
      </w:rPr>
    </w:lvl>
    <w:lvl w:ilvl="1" w:tplc="0D4C932A">
      <w:start w:val="1"/>
      <w:numFmt w:val="bullet"/>
      <w:lvlText w:val="o"/>
      <w:lvlJc w:val="left"/>
      <w:pPr>
        <w:ind w:left="1440" w:hanging="360"/>
      </w:pPr>
      <w:rPr>
        <w:rFonts w:ascii="Courier New" w:hAnsi="Courier New" w:hint="default"/>
      </w:rPr>
    </w:lvl>
    <w:lvl w:ilvl="2" w:tplc="5DDE7450">
      <w:start w:val="1"/>
      <w:numFmt w:val="bullet"/>
      <w:lvlText w:val=""/>
      <w:lvlJc w:val="left"/>
      <w:pPr>
        <w:ind w:left="2160" w:hanging="360"/>
      </w:pPr>
      <w:rPr>
        <w:rFonts w:ascii="Wingdings" w:hAnsi="Wingdings" w:hint="default"/>
      </w:rPr>
    </w:lvl>
    <w:lvl w:ilvl="3" w:tplc="A99E8968">
      <w:start w:val="1"/>
      <w:numFmt w:val="bullet"/>
      <w:lvlText w:val=""/>
      <w:lvlJc w:val="left"/>
      <w:pPr>
        <w:ind w:left="2880" w:hanging="360"/>
      </w:pPr>
      <w:rPr>
        <w:rFonts w:ascii="Symbol" w:hAnsi="Symbol" w:hint="default"/>
      </w:rPr>
    </w:lvl>
    <w:lvl w:ilvl="4" w:tplc="DD7429D6">
      <w:start w:val="1"/>
      <w:numFmt w:val="bullet"/>
      <w:lvlText w:val="o"/>
      <w:lvlJc w:val="left"/>
      <w:pPr>
        <w:ind w:left="3600" w:hanging="360"/>
      </w:pPr>
      <w:rPr>
        <w:rFonts w:ascii="Courier New" w:hAnsi="Courier New" w:hint="default"/>
      </w:rPr>
    </w:lvl>
    <w:lvl w:ilvl="5" w:tplc="4000A4C6">
      <w:start w:val="1"/>
      <w:numFmt w:val="bullet"/>
      <w:lvlText w:val=""/>
      <w:lvlJc w:val="left"/>
      <w:pPr>
        <w:ind w:left="4320" w:hanging="360"/>
      </w:pPr>
      <w:rPr>
        <w:rFonts w:ascii="Wingdings" w:hAnsi="Wingdings" w:hint="default"/>
      </w:rPr>
    </w:lvl>
    <w:lvl w:ilvl="6" w:tplc="BCCA180A">
      <w:start w:val="1"/>
      <w:numFmt w:val="bullet"/>
      <w:lvlText w:val=""/>
      <w:lvlJc w:val="left"/>
      <w:pPr>
        <w:ind w:left="5040" w:hanging="360"/>
      </w:pPr>
      <w:rPr>
        <w:rFonts w:ascii="Symbol" w:hAnsi="Symbol" w:hint="default"/>
      </w:rPr>
    </w:lvl>
    <w:lvl w:ilvl="7" w:tplc="A448091A">
      <w:start w:val="1"/>
      <w:numFmt w:val="bullet"/>
      <w:lvlText w:val="o"/>
      <w:lvlJc w:val="left"/>
      <w:pPr>
        <w:ind w:left="5760" w:hanging="360"/>
      </w:pPr>
      <w:rPr>
        <w:rFonts w:ascii="Courier New" w:hAnsi="Courier New" w:hint="default"/>
      </w:rPr>
    </w:lvl>
    <w:lvl w:ilvl="8" w:tplc="6712A86A">
      <w:start w:val="1"/>
      <w:numFmt w:val="bullet"/>
      <w:lvlText w:val=""/>
      <w:lvlJc w:val="left"/>
      <w:pPr>
        <w:ind w:left="6480" w:hanging="360"/>
      </w:pPr>
      <w:rPr>
        <w:rFonts w:ascii="Wingdings" w:hAnsi="Wingdings" w:hint="default"/>
      </w:rPr>
    </w:lvl>
  </w:abstractNum>
  <w:abstractNum w:abstractNumId="27" w15:restartNumberingAfterBreak="0">
    <w:nsid w:val="667A74A5"/>
    <w:multiLevelType w:val="hybridMultilevel"/>
    <w:tmpl w:val="DFF42044"/>
    <w:lvl w:ilvl="0" w:tplc="544C384A">
      <w:start w:val="1"/>
      <w:numFmt w:val="bullet"/>
      <w:lvlText w:val="-"/>
      <w:lvlJc w:val="left"/>
      <w:pPr>
        <w:ind w:left="720" w:hanging="360"/>
      </w:pPr>
      <w:rPr>
        <w:rFonts w:ascii="Calibri" w:hAnsi="Calibri" w:hint="default"/>
      </w:rPr>
    </w:lvl>
    <w:lvl w:ilvl="1" w:tplc="E7867B34">
      <w:start w:val="1"/>
      <w:numFmt w:val="bullet"/>
      <w:lvlText w:val="o"/>
      <w:lvlJc w:val="left"/>
      <w:pPr>
        <w:ind w:left="1440" w:hanging="360"/>
      </w:pPr>
      <w:rPr>
        <w:rFonts w:ascii="Courier New" w:hAnsi="Courier New" w:hint="default"/>
      </w:rPr>
    </w:lvl>
    <w:lvl w:ilvl="2" w:tplc="D646B90C">
      <w:start w:val="1"/>
      <w:numFmt w:val="bullet"/>
      <w:lvlText w:val=""/>
      <w:lvlJc w:val="left"/>
      <w:pPr>
        <w:ind w:left="2160" w:hanging="360"/>
      </w:pPr>
      <w:rPr>
        <w:rFonts w:ascii="Wingdings" w:hAnsi="Wingdings" w:hint="default"/>
      </w:rPr>
    </w:lvl>
    <w:lvl w:ilvl="3" w:tplc="8DEACF50">
      <w:start w:val="1"/>
      <w:numFmt w:val="bullet"/>
      <w:lvlText w:val=""/>
      <w:lvlJc w:val="left"/>
      <w:pPr>
        <w:ind w:left="2880" w:hanging="360"/>
      </w:pPr>
      <w:rPr>
        <w:rFonts w:ascii="Symbol" w:hAnsi="Symbol" w:hint="default"/>
      </w:rPr>
    </w:lvl>
    <w:lvl w:ilvl="4" w:tplc="B05676F2">
      <w:start w:val="1"/>
      <w:numFmt w:val="bullet"/>
      <w:lvlText w:val="o"/>
      <w:lvlJc w:val="left"/>
      <w:pPr>
        <w:ind w:left="3600" w:hanging="360"/>
      </w:pPr>
      <w:rPr>
        <w:rFonts w:ascii="Courier New" w:hAnsi="Courier New" w:hint="default"/>
      </w:rPr>
    </w:lvl>
    <w:lvl w:ilvl="5" w:tplc="BB924072">
      <w:start w:val="1"/>
      <w:numFmt w:val="bullet"/>
      <w:lvlText w:val=""/>
      <w:lvlJc w:val="left"/>
      <w:pPr>
        <w:ind w:left="4320" w:hanging="360"/>
      </w:pPr>
      <w:rPr>
        <w:rFonts w:ascii="Wingdings" w:hAnsi="Wingdings" w:hint="default"/>
      </w:rPr>
    </w:lvl>
    <w:lvl w:ilvl="6" w:tplc="AD7E33A6">
      <w:start w:val="1"/>
      <w:numFmt w:val="bullet"/>
      <w:lvlText w:val=""/>
      <w:lvlJc w:val="left"/>
      <w:pPr>
        <w:ind w:left="5040" w:hanging="360"/>
      </w:pPr>
      <w:rPr>
        <w:rFonts w:ascii="Symbol" w:hAnsi="Symbol" w:hint="default"/>
      </w:rPr>
    </w:lvl>
    <w:lvl w:ilvl="7" w:tplc="EAA8E518">
      <w:start w:val="1"/>
      <w:numFmt w:val="bullet"/>
      <w:lvlText w:val="o"/>
      <w:lvlJc w:val="left"/>
      <w:pPr>
        <w:ind w:left="5760" w:hanging="360"/>
      </w:pPr>
      <w:rPr>
        <w:rFonts w:ascii="Courier New" w:hAnsi="Courier New" w:hint="default"/>
      </w:rPr>
    </w:lvl>
    <w:lvl w:ilvl="8" w:tplc="53A205D2">
      <w:start w:val="1"/>
      <w:numFmt w:val="bullet"/>
      <w:lvlText w:val=""/>
      <w:lvlJc w:val="left"/>
      <w:pPr>
        <w:ind w:left="6480" w:hanging="360"/>
      </w:pPr>
      <w:rPr>
        <w:rFonts w:ascii="Wingdings" w:hAnsi="Wingdings" w:hint="default"/>
      </w:rPr>
    </w:lvl>
  </w:abstractNum>
  <w:abstractNum w:abstractNumId="28"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951869">
    <w:abstractNumId w:val="12"/>
  </w:num>
  <w:num w:numId="2" w16cid:durableId="1095858599">
    <w:abstractNumId w:val="17"/>
  </w:num>
  <w:num w:numId="3" w16cid:durableId="1475874694">
    <w:abstractNumId w:val="18"/>
  </w:num>
  <w:num w:numId="4" w16cid:durableId="278417135">
    <w:abstractNumId w:val="25"/>
  </w:num>
  <w:num w:numId="5" w16cid:durableId="531186584">
    <w:abstractNumId w:val="13"/>
  </w:num>
  <w:num w:numId="6" w16cid:durableId="1394812901">
    <w:abstractNumId w:val="23"/>
  </w:num>
  <w:num w:numId="7" w16cid:durableId="728572830">
    <w:abstractNumId w:val="28"/>
  </w:num>
  <w:num w:numId="8" w16cid:durableId="592978557">
    <w:abstractNumId w:val="29"/>
  </w:num>
  <w:num w:numId="9" w16cid:durableId="1125584426">
    <w:abstractNumId w:val="24"/>
  </w:num>
  <w:num w:numId="10" w16cid:durableId="1630430315">
    <w:abstractNumId w:val="9"/>
  </w:num>
  <w:num w:numId="11" w16cid:durableId="2004702519">
    <w:abstractNumId w:val="7"/>
  </w:num>
  <w:num w:numId="12" w16cid:durableId="1497380396">
    <w:abstractNumId w:val="6"/>
  </w:num>
  <w:num w:numId="13" w16cid:durableId="938414201">
    <w:abstractNumId w:val="5"/>
  </w:num>
  <w:num w:numId="14" w16cid:durableId="73402729">
    <w:abstractNumId w:val="4"/>
  </w:num>
  <w:num w:numId="15" w16cid:durableId="1223253523">
    <w:abstractNumId w:val="8"/>
  </w:num>
  <w:num w:numId="16" w16cid:durableId="19091624">
    <w:abstractNumId w:val="3"/>
  </w:num>
  <w:num w:numId="17" w16cid:durableId="525213700">
    <w:abstractNumId w:val="2"/>
  </w:num>
  <w:num w:numId="18" w16cid:durableId="2019693540">
    <w:abstractNumId w:val="1"/>
  </w:num>
  <w:num w:numId="19" w16cid:durableId="164126741">
    <w:abstractNumId w:val="0"/>
  </w:num>
  <w:num w:numId="20" w16cid:durableId="503476092">
    <w:abstractNumId w:val="20"/>
  </w:num>
  <w:num w:numId="21" w16cid:durableId="1949504438">
    <w:abstractNumId w:val="11"/>
  </w:num>
  <w:num w:numId="22" w16cid:durableId="1352802009">
    <w:abstractNumId w:val="16"/>
  </w:num>
  <w:num w:numId="23" w16cid:durableId="885678418">
    <w:abstractNumId w:val="22"/>
  </w:num>
  <w:num w:numId="24" w16cid:durableId="1365861204">
    <w:abstractNumId w:val="26"/>
  </w:num>
  <w:num w:numId="25" w16cid:durableId="1647856019">
    <w:abstractNumId w:val="27"/>
  </w:num>
  <w:num w:numId="26" w16cid:durableId="1212306807">
    <w:abstractNumId w:val="19"/>
  </w:num>
  <w:num w:numId="27" w16cid:durableId="1839803399">
    <w:abstractNumId w:val="14"/>
  </w:num>
  <w:num w:numId="28" w16cid:durableId="909923998">
    <w:abstractNumId w:val="10"/>
  </w:num>
  <w:num w:numId="29" w16cid:durableId="902181310">
    <w:abstractNumId w:val="21"/>
  </w:num>
  <w:num w:numId="30" w16cid:durableId="198292955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C377B"/>
    <w:rsid w:val="000C647F"/>
    <w:rsid w:val="000C75B9"/>
    <w:rsid w:val="000F5BD5"/>
    <w:rsid w:val="001100A4"/>
    <w:rsid w:val="00110820"/>
    <w:rsid w:val="00122DF8"/>
    <w:rsid w:val="00133325"/>
    <w:rsid w:val="0013691B"/>
    <w:rsid w:val="00151409"/>
    <w:rsid w:val="001540E2"/>
    <w:rsid w:val="00171C99"/>
    <w:rsid w:val="00197AE7"/>
    <w:rsid w:val="001C3DD1"/>
    <w:rsid w:val="00234462"/>
    <w:rsid w:val="00235CA2"/>
    <w:rsid w:val="00236822"/>
    <w:rsid w:val="0024020E"/>
    <w:rsid w:val="0025351E"/>
    <w:rsid w:val="00254D2F"/>
    <w:rsid w:val="00266AEC"/>
    <w:rsid w:val="0027163F"/>
    <w:rsid w:val="0027457F"/>
    <w:rsid w:val="00276608"/>
    <w:rsid w:val="0028306D"/>
    <w:rsid w:val="00283BED"/>
    <w:rsid w:val="00284808"/>
    <w:rsid w:val="002938CB"/>
    <w:rsid w:val="0029796C"/>
    <w:rsid w:val="002A4684"/>
    <w:rsid w:val="002A5B89"/>
    <w:rsid w:val="002A72DB"/>
    <w:rsid w:val="002A7635"/>
    <w:rsid w:val="002B07E9"/>
    <w:rsid w:val="002B0F35"/>
    <w:rsid w:val="002C35FE"/>
    <w:rsid w:val="002C3CEB"/>
    <w:rsid w:val="002D2993"/>
    <w:rsid w:val="002F2F7C"/>
    <w:rsid w:val="00314800"/>
    <w:rsid w:val="00331B24"/>
    <w:rsid w:val="00335220"/>
    <w:rsid w:val="00362590"/>
    <w:rsid w:val="00364326"/>
    <w:rsid w:val="0038486D"/>
    <w:rsid w:val="003A0F8A"/>
    <w:rsid w:val="003A5EB1"/>
    <w:rsid w:val="003B09C8"/>
    <w:rsid w:val="003D70F4"/>
    <w:rsid w:val="003D76B2"/>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77290"/>
    <w:rsid w:val="004B567E"/>
    <w:rsid w:val="004C6793"/>
    <w:rsid w:val="004D4827"/>
    <w:rsid w:val="004E70C4"/>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F1396"/>
    <w:rsid w:val="005F6D34"/>
    <w:rsid w:val="00607164"/>
    <w:rsid w:val="00631314"/>
    <w:rsid w:val="0063467F"/>
    <w:rsid w:val="00644ADF"/>
    <w:rsid w:val="0064597B"/>
    <w:rsid w:val="006533BD"/>
    <w:rsid w:val="00667DF0"/>
    <w:rsid w:val="00673D5D"/>
    <w:rsid w:val="00675C66"/>
    <w:rsid w:val="00681ABF"/>
    <w:rsid w:val="006A627F"/>
    <w:rsid w:val="006C1138"/>
    <w:rsid w:val="006C1655"/>
    <w:rsid w:val="006D61AC"/>
    <w:rsid w:val="006D65C9"/>
    <w:rsid w:val="006D7841"/>
    <w:rsid w:val="006D7EAB"/>
    <w:rsid w:val="006E0942"/>
    <w:rsid w:val="006E3D54"/>
    <w:rsid w:val="006E44DB"/>
    <w:rsid w:val="007043C7"/>
    <w:rsid w:val="00710A12"/>
    <w:rsid w:val="00711BFA"/>
    <w:rsid w:val="00723FD2"/>
    <w:rsid w:val="007454A4"/>
    <w:rsid w:val="0075707F"/>
    <w:rsid w:val="00757930"/>
    <w:rsid w:val="00760AF4"/>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92591"/>
    <w:rsid w:val="008B4CC6"/>
    <w:rsid w:val="008C0962"/>
    <w:rsid w:val="008D5732"/>
    <w:rsid w:val="008E37CF"/>
    <w:rsid w:val="009026A1"/>
    <w:rsid w:val="00906555"/>
    <w:rsid w:val="00910134"/>
    <w:rsid w:val="00910C10"/>
    <w:rsid w:val="00914CE1"/>
    <w:rsid w:val="009203E3"/>
    <w:rsid w:val="0093555B"/>
    <w:rsid w:val="00940386"/>
    <w:rsid w:val="009550FD"/>
    <w:rsid w:val="00955A75"/>
    <w:rsid w:val="00957A4D"/>
    <w:rsid w:val="009710A7"/>
    <w:rsid w:val="00985B1B"/>
    <w:rsid w:val="0098682A"/>
    <w:rsid w:val="00997B89"/>
    <w:rsid w:val="009A28E5"/>
    <w:rsid w:val="009A38EF"/>
    <w:rsid w:val="009B5923"/>
    <w:rsid w:val="009C1CC3"/>
    <w:rsid w:val="009D1E7E"/>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BFB"/>
    <w:rsid w:val="00C16F89"/>
    <w:rsid w:val="00C24EAA"/>
    <w:rsid w:val="00C25475"/>
    <w:rsid w:val="00C26026"/>
    <w:rsid w:val="00C334E8"/>
    <w:rsid w:val="00C43326"/>
    <w:rsid w:val="00C47397"/>
    <w:rsid w:val="00C551FC"/>
    <w:rsid w:val="00C66623"/>
    <w:rsid w:val="00C73482"/>
    <w:rsid w:val="00CA1714"/>
    <w:rsid w:val="00CA5409"/>
    <w:rsid w:val="00CC5931"/>
    <w:rsid w:val="00CC6A77"/>
    <w:rsid w:val="00CE0CB8"/>
    <w:rsid w:val="00CE665B"/>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B4265"/>
    <w:rsid w:val="00DC14E1"/>
    <w:rsid w:val="00DC74C5"/>
    <w:rsid w:val="00DD1D6F"/>
    <w:rsid w:val="00DD617D"/>
    <w:rsid w:val="00DE0B02"/>
    <w:rsid w:val="00DF075F"/>
    <w:rsid w:val="00E03C4E"/>
    <w:rsid w:val="00E15857"/>
    <w:rsid w:val="00E17D58"/>
    <w:rsid w:val="00E362B7"/>
    <w:rsid w:val="00E42F93"/>
    <w:rsid w:val="00E46296"/>
    <w:rsid w:val="00E71D84"/>
    <w:rsid w:val="00E77AF7"/>
    <w:rsid w:val="00E81AC0"/>
    <w:rsid w:val="00E9119A"/>
    <w:rsid w:val="00EA1162"/>
    <w:rsid w:val="00EA1625"/>
    <w:rsid w:val="00EA2920"/>
    <w:rsid w:val="00EA6E13"/>
    <w:rsid w:val="00EA7458"/>
    <w:rsid w:val="00EB51A7"/>
    <w:rsid w:val="00EE2E56"/>
    <w:rsid w:val="00EF2929"/>
    <w:rsid w:val="00F1127F"/>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F85A8"/>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ata-service.theglobalfund.org/file_download/covid_approved_funding_report/exce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ype":"pictureContentControl","id":"27660399-899d-40c0-ba1a-b719a6034ca6","elementConfiguration":{"inheritDimensions":"inheritHeight","binding":"Form.DocLang.Logo_stacked_colour","removeAndKeepContent":false,"disableUpdates":false,"type":"image"}},{"type":"pictureContentControl","id":"765b58d9-2550-4a32-a93e-76c29b5da123","elementConfiguration":{"inheritDimensions":"inheritHeight","binding":"Form.DocLang.Logo_horizontal","removeAndKeepContent":false,"disableUpdates":false,"type":"image"}},{"type":"pictureContentControl","id":"b731db14-4939-444c-ac01-66c42fb6b545","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2.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E4FFB-B547-437A-A56E-613A8F346671}">
  <ds:schemaRefs/>
</ds:datastoreItem>
</file>

<file path=customXml/itemProps6.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10</TotalTime>
  <Pages>4</Pages>
  <Words>1175</Words>
  <Characters>6699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2023-03-08T14:53:00Z</dcterms:created>
  <dcterms:modified xsi:type="dcterms:W3CDTF">2023-03-08T15:03:00Z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ies>
</file>