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DD324" w14:textId="42996125" w:rsidR="00F90F48" w:rsidRPr="002A499E" w:rsidRDefault="00F90F48" w:rsidP="00842C7E">
      <w:pPr>
        <w:pStyle w:val="Title"/>
        <w:rPr>
          <w:sz w:val="18"/>
          <w:szCs w:val="18"/>
          <w:lang w:val="en-GB"/>
        </w:rPr>
      </w:pPr>
    </w:p>
    <w:p w14:paraId="1A14E42E" w14:textId="70017E0D" w:rsidR="00460E05" w:rsidRPr="002A499E" w:rsidRDefault="000D4EBC" w:rsidP="00460E05">
      <w:pPr>
        <w:rPr>
          <w:b/>
          <w:bCs/>
          <w:sz w:val="40"/>
          <w:szCs w:val="40"/>
          <w:lang w:val="en-GB"/>
        </w:rPr>
      </w:pPr>
      <w:r>
        <w:rPr>
          <w:b/>
          <w:bCs/>
          <w:sz w:val="40"/>
          <w:szCs w:val="40"/>
          <w:lang w:val="en-GB"/>
        </w:rPr>
        <w:t xml:space="preserve">Assessment </w:t>
      </w:r>
      <w:r w:rsidR="00925490">
        <w:rPr>
          <w:b/>
          <w:bCs/>
          <w:sz w:val="40"/>
          <w:szCs w:val="40"/>
          <w:lang w:val="en-GB"/>
        </w:rPr>
        <w:t>of</w:t>
      </w:r>
      <w:r w:rsidR="00460E05" w:rsidRPr="002A499E">
        <w:rPr>
          <w:b/>
          <w:bCs/>
          <w:sz w:val="40"/>
          <w:szCs w:val="40"/>
          <w:lang w:val="en-GB"/>
        </w:rPr>
        <w:t xml:space="preserve"> Health Care Waste Management </w:t>
      </w:r>
    </w:p>
    <w:p w14:paraId="6899D116" w14:textId="0C459E43" w:rsidR="00E81AC0" w:rsidRPr="00460E05" w:rsidRDefault="00460E05" w:rsidP="00E81AC0">
      <w:pPr>
        <w:pStyle w:val="Subtitle"/>
        <w:spacing w:after="840"/>
        <w:rPr>
          <w:sz w:val="22"/>
          <w:szCs w:val="22"/>
        </w:rPr>
      </w:pPr>
      <w:r w:rsidRPr="00460E05">
        <w:rPr>
          <w:sz w:val="22"/>
          <w:szCs w:val="22"/>
        </w:rPr>
        <w:t>MAY 2022</w:t>
      </w:r>
    </w:p>
    <w:p w14:paraId="46D4D5D5" w14:textId="77777777" w:rsidR="00460E05" w:rsidRPr="002A499E" w:rsidRDefault="00460E05" w:rsidP="00460E05">
      <w:pPr>
        <w:spacing w:after="0" w:line="288" w:lineRule="auto"/>
        <w:jc w:val="both"/>
        <w:rPr>
          <w:b/>
          <w:bCs/>
          <w:sz w:val="22"/>
          <w:lang w:val="en-GB"/>
        </w:rPr>
      </w:pPr>
      <w:r w:rsidRPr="002A499E">
        <w:rPr>
          <w:b/>
          <w:bCs/>
          <w:sz w:val="22"/>
          <w:lang w:val="en-GB"/>
        </w:rPr>
        <w:t>Objective(s):</w:t>
      </w:r>
    </w:p>
    <w:p w14:paraId="6E1C1462" w14:textId="77777777" w:rsidR="00460E05" w:rsidRDefault="00460E05" w:rsidP="00460E05">
      <w:pPr>
        <w:spacing w:after="0" w:line="288" w:lineRule="auto"/>
        <w:jc w:val="both"/>
        <w:rPr>
          <w:sz w:val="22"/>
          <w:lang w:val="en-GB"/>
        </w:rPr>
      </w:pPr>
      <w:r w:rsidRPr="002A499E">
        <w:rPr>
          <w:sz w:val="22"/>
          <w:lang w:val="en-GB"/>
        </w:rPr>
        <w:t>The objective of the review is to assess the adequacy of the management practices of health care waste that is generated in laboratories, health facilities and at community level   to obtain assurance that procedures in place are effective, efficient, and safe for human health and the environment.</w:t>
      </w:r>
    </w:p>
    <w:p w14:paraId="0048E8CA" w14:textId="77777777" w:rsidR="00871545" w:rsidRDefault="00871545" w:rsidP="00460E05">
      <w:pPr>
        <w:spacing w:after="0" w:line="288" w:lineRule="auto"/>
        <w:jc w:val="both"/>
        <w:rPr>
          <w:sz w:val="22"/>
          <w:lang w:val="en-GB"/>
        </w:rPr>
      </w:pPr>
    </w:p>
    <w:p w14:paraId="02F951F5" w14:textId="25A4EF21" w:rsidR="00DB4DC9" w:rsidRPr="00DB4DC9" w:rsidRDefault="00B070D7" w:rsidP="00DB4DC9">
      <w:pPr>
        <w:spacing w:line="288" w:lineRule="auto"/>
        <w:jc w:val="both"/>
        <w:rPr>
          <w:sz w:val="22"/>
        </w:rPr>
      </w:pPr>
      <w:r>
        <w:rPr>
          <w:sz w:val="22"/>
        </w:rPr>
        <w:t>T</w:t>
      </w:r>
      <w:r w:rsidRPr="00B070D7">
        <w:rPr>
          <w:sz w:val="22"/>
        </w:rPr>
        <w:t xml:space="preserve">he aim of the assessment is to determine the adequacy of </w:t>
      </w:r>
      <w:r w:rsidR="00C54335">
        <w:rPr>
          <w:sz w:val="22"/>
        </w:rPr>
        <w:t>a</w:t>
      </w:r>
      <w:r w:rsidR="00AE02D7">
        <w:rPr>
          <w:sz w:val="22"/>
        </w:rPr>
        <w:t xml:space="preserve"> country</w:t>
      </w:r>
      <w:r w:rsidR="00C54335">
        <w:rPr>
          <w:sz w:val="22"/>
        </w:rPr>
        <w:t>’s</w:t>
      </w:r>
      <w:r w:rsidR="00AE02D7">
        <w:rPr>
          <w:sz w:val="22"/>
        </w:rPr>
        <w:t xml:space="preserve"> </w:t>
      </w:r>
      <w:r w:rsidRPr="00B070D7">
        <w:rPr>
          <w:sz w:val="22"/>
        </w:rPr>
        <w:t>waste management</w:t>
      </w:r>
      <w:r w:rsidR="00AE02D7">
        <w:rPr>
          <w:sz w:val="22"/>
        </w:rPr>
        <w:t xml:space="preserve"> system and practices. </w:t>
      </w:r>
      <w:r w:rsidR="00DB4DC9">
        <w:rPr>
          <w:sz w:val="22"/>
        </w:rPr>
        <w:t xml:space="preserve">For a review of the </w:t>
      </w:r>
      <w:r w:rsidR="00DB4DC9" w:rsidRPr="00DB4DC9">
        <w:rPr>
          <w:sz w:val="22"/>
        </w:rPr>
        <w:t>implementation of Global Fund healthcare waste management investments, with emphasis on waste management infrastructure</w:t>
      </w:r>
      <w:r w:rsidR="003F7E57">
        <w:rPr>
          <w:sz w:val="22"/>
        </w:rPr>
        <w:t xml:space="preserve">, please refer to the ToR </w:t>
      </w:r>
      <w:hyperlink r:id="rId13" w:history="1">
        <w:r w:rsidR="00710D4C" w:rsidRPr="00D00A5F">
          <w:rPr>
            <w:rStyle w:val="Hyperlink"/>
            <w:i/>
            <w:iCs/>
            <w:sz w:val="22"/>
          </w:rPr>
          <w:t>‘</w:t>
        </w:r>
        <w:r w:rsidR="00A54EF5" w:rsidRPr="00D00A5F">
          <w:rPr>
            <w:rStyle w:val="Hyperlink"/>
            <w:i/>
            <w:iCs/>
            <w:sz w:val="22"/>
          </w:rPr>
          <w:t xml:space="preserve">LFA Review of Implementation of Global Fund </w:t>
        </w:r>
        <w:r w:rsidR="00E35592" w:rsidRPr="00D00A5F">
          <w:rPr>
            <w:rStyle w:val="Hyperlink"/>
            <w:i/>
            <w:iCs/>
            <w:sz w:val="22"/>
          </w:rPr>
          <w:t>Health</w:t>
        </w:r>
        <w:r w:rsidR="00EC62E6" w:rsidRPr="00D00A5F">
          <w:rPr>
            <w:rStyle w:val="Hyperlink"/>
            <w:i/>
            <w:iCs/>
            <w:sz w:val="22"/>
          </w:rPr>
          <w:t xml:space="preserve"> Care</w:t>
        </w:r>
        <w:r w:rsidR="00E35592" w:rsidRPr="00D00A5F">
          <w:rPr>
            <w:rStyle w:val="Hyperlink"/>
            <w:i/>
            <w:iCs/>
            <w:sz w:val="22"/>
          </w:rPr>
          <w:t xml:space="preserve"> </w:t>
        </w:r>
        <w:r w:rsidR="00A54EF5" w:rsidRPr="00D00A5F">
          <w:rPr>
            <w:rStyle w:val="Hyperlink"/>
            <w:i/>
            <w:iCs/>
            <w:sz w:val="22"/>
          </w:rPr>
          <w:t xml:space="preserve">Waste Management </w:t>
        </w:r>
        <w:r w:rsidR="00E35592" w:rsidRPr="00D00A5F">
          <w:rPr>
            <w:rStyle w:val="Hyperlink"/>
            <w:i/>
            <w:iCs/>
            <w:sz w:val="22"/>
          </w:rPr>
          <w:t>Investments’</w:t>
        </w:r>
      </w:hyperlink>
      <w:r w:rsidR="00E35592">
        <w:rPr>
          <w:sz w:val="22"/>
        </w:rPr>
        <w:t xml:space="preserve"> </w:t>
      </w:r>
      <w:r w:rsidR="003F7E57">
        <w:rPr>
          <w:sz w:val="22"/>
        </w:rPr>
        <w:t xml:space="preserve">and </w:t>
      </w:r>
      <w:r w:rsidR="001C19AC">
        <w:rPr>
          <w:sz w:val="22"/>
        </w:rPr>
        <w:t xml:space="preserve">related </w:t>
      </w:r>
      <w:r w:rsidR="004E483A">
        <w:rPr>
          <w:sz w:val="22"/>
        </w:rPr>
        <w:t>r</w:t>
      </w:r>
      <w:r w:rsidR="003F7E57">
        <w:rPr>
          <w:sz w:val="22"/>
        </w:rPr>
        <w:t>eview tool</w:t>
      </w:r>
      <w:r w:rsidR="00113697">
        <w:rPr>
          <w:sz w:val="22"/>
        </w:rPr>
        <w:t xml:space="preserve"> on the LFA website</w:t>
      </w:r>
      <w:r w:rsidR="008A3772">
        <w:rPr>
          <w:sz w:val="22"/>
        </w:rPr>
        <w:t>.</w:t>
      </w:r>
    </w:p>
    <w:p w14:paraId="4646E2CC" w14:textId="31C9D216" w:rsidR="00460E05" w:rsidRPr="00B070D7" w:rsidRDefault="00460E05" w:rsidP="00460E05">
      <w:pPr>
        <w:spacing w:after="0" w:line="288" w:lineRule="auto"/>
        <w:jc w:val="both"/>
        <w:rPr>
          <w:sz w:val="22"/>
        </w:rPr>
      </w:pPr>
    </w:p>
    <w:p w14:paraId="287774DE" w14:textId="77777777" w:rsidR="00460E05" w:rsidRPr="002A499E" w:rsidRDefault="00460E05" w:rsidP="00460E05">
      <w:pPr>
        <w:pStyle w:val="NoSpacing"/>
        <w:spacing w:line="288" w:lineRule="auto"/>
        <w:jc w:val="both"/>
        <w:rPr>
          <w:b/>
        </w:rPr>
      </w:pPr>
      <w:r w:rsidRPr="002A499E">
        <w:rPr>
          <w:b/>
        </w:rPr>
        <w:t>Scope of Review as agree between the LFA and the Global Fund Country Team:</w:t>
      </w:r>
    </w:p>
    <w:p w14:paraId="09CB2A70" w14:textId="77777777" w:rsidR="00460E05" w:rsidRPr="002A499E" w:rsidRDefault="00460E05" w:rsidP="00460E05">
      <w:pPr>
        <w:pStyle w:val="NoSpacing"/>
        <w:spacing w:line="288" w:lineRule="auto"/>
        <w:jc w:val="both"/>
        <w:rPr>
          <w:b/>
          <w:i/>
        </w:rPr>
      </w:pPr>
      <w:r w:rsidRPr="002A499E">
        <w:rPr>
          <w:b/>
          <w:i/>
        </w:rPr>
        <w:t>[Please specify:]</w:t>
      </w:r>
    </w:p>
    <w:p w14:paraId="5C7A431D" w14:textId="77777777" w:rsidR="00460E05" w:rsidRPr="002A499E" w:rsidRDefault="00460E05" w:rsidP="00460E05">
      <w:pPr>
        <w:pStyle w:val="NoSpacing"/>
        <w:numPr>
          <w:ilvl w:val="0"/>
          <w:numId w:val="24"/>
        </w:numPr>
        <w:spacing w:line="288" w:lineRule="auto"/>
        <w:ind w:left="714" w:hanging="357"/>
        <w:jc w:val="both"/>
      </w:pPr>
      <w:r w:rsidRPr="002A499E">
        <w:t>Geographic area or sampling methodology (how many sites &amp; where; all health facilities/communities and laboratories or a sample; period being reviewed; etc.)</w:t>
      </w:r>
    </w:p>
    <w:p w14:paraId="596D9EF4" w14:textId="77777777" w:rsidR="00460E05" w:rsidRPr="002A499E" w:rsidRDefault="00460E05" w:rsidP="00460E05">
      <w:pPr>
        <w:pStyle w:val="NoSpacing"/>
        <w:numPr>
          <w:ilvl w:val="0"/>
          <w:numId w:val="24"/>
        </w:numPr>
        <w:spacing w:line="288" w:lineRule="auto"/>
        <w:ind w:left="714" w:hanging="357"/>
        <w:jc w:val="both"/>
      </w:pPr>
      <w:r w:rsidRPr="002A499E">
        <w:t>List the institutions covered by the review, e.g., public, and private hospitals, laboratories, pharmacies from tertiary to primary health care level.</w:t>
      </w:r>
    </w:p>
    <w:p w14:paraId="5D77D44D" w14:textId="77777777" w:rsidR="00460E05" w:rsidRPr="002A499E" w:rsidRDefault="00460E05" w:rsidP="00460E05">
      <w:pPr>
        <w:pStyle w:val="NoSpacing"/>
        <w:numPr>
          <w:ilvl w:val="0"/>
          <w:numId w:val="24"/>
        </w:numPr>
        <w:spacing w:line="288" w:lineRule="auto"/>
        <w:ind w:left="714" w:hanging="357"/>
        <w:jc w:val="both"/>
      </w:pPr>
      <w:r w:rsidRPr="002A499E">
        <w:t>Categories of waste being covered by the review, e.g., pharmaceutical, laboratory, organic, inorganic, biological, radioactive waste.</w:t>
      </w:r>
    </w:p>
    <w:p w14:paraId="591869C2" w14:textId="77777777" w:rsidR="00460E05" w:rsidRPr="002A499E" w:rsidRDefault="00460E05" w:rsidP="00460E05">
      <w:pPr>
        <w:spacing w:after="0" w:line="288" w:lineRule="auto"/>
        <w:jc w:val="both"/>
        <w:rPr>
          <w:sz w:val="22"/>
          <w:lang w:val="en-GB"/>
        </w:rPr>
      </w:pPr>
    </w:p>
    <w:p w14:paraId="189E24E0" w14:textId="77777777" w:rsidR="00460E05" w:rsidRPr="002A499E" w:rsidRDefault="00460E05" w:rsidP="00460E05">
      <w:pPr>
        <w:pStyle w:val="NoSpacing"/>
        <w:spacing w:line="288" w:lineRule="auto"/>
        <w:jc w:val="both"/>
        <w:rPr>
          <w:b/>
        </w:rPr>
      </w:pPr>
      <w:r w:rsidRPr="002A499E">
        <w:rPr>
          <w:b/>
        </w:rPr>
        <w:t>Tasks:</w:t>
      </w:r>
    </w:p>
    <w:p w14:paraId="4AF1E7EF" w14:textId="3C0074E1" w:rsidR="00460E05" w:rsidRPr="00460E05" w:rsidRDefault="00460E05" w:rsidP="00460E05">
      <w:pPr>
        <w:pStyle w:val="NoSpacing"/>
        <w:spacing w:line="288" w:lineRule="auto"/>
        <w:jc w:val="both"/>
      </w:pPr>
      <w:r w:rsidRPr="00460E05">
        <w:rPr>
          <w:rFonts w:cs="Arial"/>
          <w:bCs/>
          <w:iCs/>
        </w:rPr>
        <w:t>The assessment shall be conducted by administering the</w:t>
      </w:r>
      <w:r w:rsidRPr="00460E05">
        <w:rPr>
          <w:rFonts w:cs="Arial"/>
          <w:b/>
          <w:i/>
        </w:rPr>
        <w:t xml:space="preserve"> </w:t>
      </w:r>
      <w:hyperlink r:id="rId14" w:history="1">
        <w:r w:rsidRPr="004F5CDF">
          <w:rPr>
            <w:rStyle w:val="Hyperlink"/>
          </w:rPr>
          <w:t>Health Care Waste Management Assessment tool</w:t>
        </w:r>
      </w:hyperlink>
      <w:r w:rsidRPr="00460E05">
        <w:t xml:space="preserve">. The assessment reviews the adequacy of waste management in the following areas: </w:t>
      </w:r>
    </w:p>
    <w:p w14:paraId="3D5B9F1B" w14:textId="77777777" w:rsidR="00460E05" w:rsidRPr="00460E05" w:rsidRDefault="00460E05" w:rsidP="00460E05">
      <w:pPr>
        <w:pStyle w:val="NoSpacing"/>
        <w:numPr>
          <w:ilvl w:val="0"/>
          <w:numId w:val="26"/>
        </w:numPr>
        <w:spacing w:line="288" w:lineRule="auto"/>
        <w:jc w:val="both"/>
      </w:pPr>
      <w:r w:rsidRPr="00460E05">
        <w:t>Institutional Capacity</w:t>
      </w:r>
    </w:p>
    <w:p w14:paraId="7EF39C22" w14:textId="77777777" w:rsidR="00460E05" w:rsidRPr="00460E05" w:rsidRDefault="00460E05" w:rsidP="00460E05">
      <w:pPr>
        <w:pStyle w:val="NoSpacing"/>
        <w:numPr>
          <w:ilvl w:val="0"/>
          <w:numId w:val="26"/>
        </w:numPr>
        <w:spacing w:line="288" w:lineRule="auto"/>
        <w:jc w:val="both"/>
      </w:pPr>
      <w:r w:rsidRPr="00460E05">
        <w:t>Organizational arrangements</w:t>
      </w:r>
    </w:p>
    <w:p w14:paraId="62B9AF92" w14:textId="77777777" w:rsidR="00460E05" w:rsidRPr="00460E05" w:rsidRDefault="00460E05" w:rsidP="00460E05">
      <w:pPr>
        <w:pStyle w:val="NoSpacing"/>
        <w:numPr>
          <w:ilvl w:val="0"/>
          <w:numId w:val="26"/>
        </w:numPr>
        <w:spacing w:line="288" w:lineRule="auto"/>
        <w:jc w:val="both"/>
      </w:pPr>
      <w:r w:rsidRPr="00460E05">
        <w:t>Managerial Capacity</w:t>
      </w:r>
    </w:p>
    <w:p w14:paraId="0891718C" w14:textId="77777777" w:rsidR="00460E05" w:rsidRPr="00460E05" w:rsidRDefault="00460E05" w:rsidP="00460E05">
      <w:pPr>
        <w:pStyle w:val="NoSpacing"/>
        <w:numPr>
          <w:ilvl w:val="0"/>
          <w:numId w:val="26"/>
        </w:numPr>
        <w:spacing w:line="288" w:lineRule="auto"/>
        <w:jc w:val="both"/>
      </w:pPr>
      <w:r w:rsidRPr="00460E05">
        <w:t>Waste infrastructure</w:t>
      </w:r>
    </w:p>
    <w:p w14:paraId="4EBDC4DA" w14:textId="77777777" w:rsidR="00460E05" w:rsidRPr="00460E05" w:rsidRDefault="00460E05" w:rsidP="00460E05">
      <w:pPr>
        <w:pStyle w:val="NoSpacing"/>
        <w:numPr>
          <w:ilvl w:val="0"/>
          <w:numId w:val="26"/>
        </w:numPr>
        <w:spacing w:line="288" w:lineRule="auto"/>
        <w:jc w:val="both"/>
      </w:pPr>
      <w:r w:rsidRPr="00460E05">
        <w:t>Financing and Sustainability</w:t>
      </w:r>
    </w:p>
    <w:p w14:paraId="6135B37D" w14:textId="77777777" w:rsidR="00460E05" w:rsidRPr="00460E05" w:rsidRDefault="00460E05" w:rsidP="00460E05">
      <w:pPr>
        <w:pStyle w:val="NoSpacing"/>
        <w:spacing w:line="288" w:lineRule="auto"/>
      </w:pPr>
    </w:p>
    <w:p w14:paraId="6433A982" w14:textId="77777777" w:rsidR="00460E05" w:rsidRPr="00460E05" w:rsidRDefault="00460E05" w:rsidP="00460E05">
      <w:pPr>
        <w:pStyle w:val="NoSpacing"/>
        <w:spacing w:line="288" w:lineRule="auto"/>
        <w:rPr>
          <w:rFonts w:cs="Arial"/>
          <w:b/>
          <w:i/>
        </w:rPr>
      </w:pPr>
      <w:r w:rsidRPr="00460E05">
        <w:t>The assessment can review all areas (full assessment) or be a partial review per scope determined by the Global Fund Country Team.</w:t>
      </w:r>
    </w:p>
    <w:p w14:paraId="2CFADE08" w14:textId="3EBAF23F" w:rsidR="00460E05" w:rsidRDefault="00460E05" w:rsidP="00460E05">
      <w:pPr>
        <w:spacing w:after="0" w:line="288" w:lineRule="auto"/>
        <w:rPr>
          <w:lang w:val="en-GB"/>
        </w:rPr>
      </w:pPr>
    </w:p>
    <w:p w14:paraId="2DC4BCBE" w14:textId="5D330C82" w:rsidR="00460E05" w:rsidRPr="00411BAA" w:rsidRDefault="00460E05" w:rsidP="00460E05">
      <w:pPr>
        <w:pStyle w:val="NoSpacing"/>
        <w:spacing w:line="288" w:lineRule="auto"/>
        <w:rPr>
          <w:b/>
        </w:rPr>
      </w:pPr>
      <w:r w:rsidRPr="00411BAA">
        <w:rPr>
          <w:b/>
        </w:rPr>
        <w:lastRenderedPageBreak/>
        <w:t>Output/Deliverables and timing of deliverables:</w:t>
      </w:r>
    </w:p>
    <w:p w14:paraId="6F898742" w14:textId="77777777" w:rsidR="00460E05" w:rsidRPr="00460E05" w:rsidRDefault="00460E05" w:rsidP="00460E05">
      <w:pPr>
        <w:spacing w:after="0" w:line="288" w:lineRule="auto"/>
        <w:jc w:val="both"/>
        <w:rPr>
          <w:sz w:val="22"/>
          <w:lang w:val="en-GB"/>
        </w:rPr>
      </w:pPr>
      <w:r w:rsidRPr="00460E05">
        <w:rPr>
          <w:sz w:val="22"/>
          <w:lang w:val="en-GB"/>
        </w:rPr>
        <w:t xml:space="preserve">The LFA is requested to complete the relevant sections of the </w:t>
      </w:r>
      <w:r w:rsidRPr="00460E05">
        <w:rPr>
          <w:sz w:val="22"/>
        </w:rPr>
        <w:t>Health Care Waste Management Assessment tool</w:t>
      </w:r>
      <w:r w:rsidRPr="00460E05">
        <w:rPr>
          <w:sz w:val="22"/>
          <w:lang w:val="en-GB"/>
        </w:rPr>
        <w:t xml:space="preserve"> and to provide comments with additional details related to the context, potential root causes, etc., of the indicated findings, as necessary. </w:t>
      </w:r>
    </w:p>
    <w:p w14:paraId="0A16DEB3" w14:textId="77777777" w:rsidR="00460E05" w:rsidRPr="00460E05" w:rsidRDefault="00460E05" w:rsidP="00460E05">
      <w:pPr>
        <w:spacing w:after="0" w:line="288" w:lineRule="auto"/>
        <w:jc w:val="both"/>
        <w:rPr>
          <w:sz w:val="22"/>
          <w:lang w:val="en-GB"/>
        </w:rPr>
      </w:pPr>
      <w:r w:rsidRPr="00460E05">
        <w:rPr>
          <w:sz w:val="22"/>
          <w:lang w:val="en-GB"/>
        </w:rPr>
        <w:t>Should the review identify clear evidence of fraud, the LFA should ensure it uses the GF communication protocol to inform the GF Secretariat and/or the OIG to allow consideration of evidence collection and other issues relevant to a possible criminal investigation.</w:t>
      </w:r>
    </w:p>
    <w:p w14:paraId="453D2DEA" w14:textId="77777777" w:rsidR="00460E05" w:rsidRDefault="00460E05" w:rsidP="00460E05">
      <w:pPr>
        <w:spacing w:after="0" w:line="288" w:lineRule="auto"/>
        <w:jc w:val="both"/>
        <w:rPr>
          <w:rFonts w:cs="Arial"/>
        </w:rPr>
      </w:pPr>
    </w:p>
    <w:p w14:paraId="571754C8" w14:textId="77777777" w:rsidR="00460E05" w:rsidRPr="002A499E" w:rsidRDefault="00460E05" w:rsidP="00460E05">
      <w:pPr>
        <w:spacing w:after="0" w:line="288" w:lineRule="auto"/>
        <w:jc w:val="both"/>
        <w:rPr>
          <w:b/>
          <w:bCs/>
          <w:sz w:val="22"/>
          <w:lang w:val="en-GB"/>
        </w:rPr>
      </w:pPr>
      <w:r w:rsidRPr="002A499E">
        <w:rPr>
          <w:b/>
          <w:bCs/>
          <w:sz w:val="22"/>
          <w:lang w:val="en-GB"/>
        </w:rPr>
        <w:t>Service Delivery</w:t>
      </w:r>
    </w:p>
    <w:p w14:paraId="351C5047" w14:textId="33AC4519" w:rsidR="00460E05" w:rsidRPr="00402D3D" w:rsidRDefault="00460E05" w:rsidP="00402D3D">
      <w:pPr>
        <w:spacing w:after="0" w:line="288" w:lineRule="auto"/>
        <w:jc w:val="both"/>
        <w:rPr>
          <w:sz w:val="22"/>
          <w:lang w:val="en-GB"/>
        </w:rPr>
      </w:pPr>
      <w:r w:rsidRPr="00402D3D">
        <w:rPr>
          <w:sz w:val="22"/>
          <w:lang w:val="en-GB"/>
        </w:rPr>
        <w:t xml:space="preserve">This task should be undertaken by the LFA PSM and Laboratory experts who are accountable for the technical content of the report. They can be supported, as needed, by other LFA team members in the planning and during the verification.  The LoE for this task, including report writing, depends on which elements of the ToR and the number and location of service delivery sites are included in the review, as agreed between the Global Fund Country Team and the LFA. </w:t>
      </w:r>
    </w:p>
    <w:p w14:paraId="1A40828C" w14:textId="77777777" w:rsidR="00460E05" w:rsidRDefault="00460E05" w:rsidP="00460E05">
      <w:pPr>
        <w:spacing w:after="0" w:line="288" w:lineRule="auto"/>
        <w:jc w:val="both"/>
        <w:rPr>
          <w:rFonts w:cs="Arial"/>
          <w:b/>
          <w:bCs/>
        </w:rPr>
      </w:pPr>
    </w:p>
    <w:p w14:paraId="37DCE4AA" w14:textId="77777777" w:rsidR="00460E05" w:rsidRDefault="00460E05" w:rsidP="00460E05">
      <w:pPr>
        <w:spacing w:after="0" w:line="288" w:lineRule="auto"/>
        <w:jc w:val="both"/>
        <w:rPr>
          <w:rFonts w:cs="Arial"/>
          <w:b/>
          <w:bCs/>
        </w:rPr>
      </w:pPr>
    </w:p>
    <w:p w14:paraId="303D2341" w14:textId="77777777" w:rsidR="00460E05" w:rsidRPr="002A499E" w:rsidRDefault="00460E05" w:rsidP="00460E05">
      <w:pPr>
        <w:spacing w:after="0" w:line="288" w:lineRule="auto"/>
        <w:jc w:val="both"/>
        <w:rPr>
          <w:b/>
          <w:bCs/>
          <w:sz w:val="22"/>
          <w:lang w:val="en-GB"/>
        </w:rPr>
      </w:pPr>
      <w:r w:rsidRPr="002A499E">
        <w:rPr>
          <w:rFonts w:cs="Arial"/>
          <w:b/>
          <w:bCs/>
          <w:sz w:val="22"/>
        </w:rPr>
        <w:t>Recommended</w:t>
      </w:r>
      <w:r w:rsidRPr="002A499E">
        <w:rPr>
          <w:b/>
          <w:bCs/>
          <w:sz w:val="22"/>
          <w:lang w:val="en-GB"/>
        </w:rPr>
        <w:t xml:space="preserve"> background reading</w:t>
      </w:r>
    </w:p>
    <w:p w14:paraId="68479B58" w14:textId="77777777" w:rsidR="00460E05" w:rsidRPr="002A499E" w:rsidRDefault="00460E05" w:rsidP="00460E05">
      <w:pPr>
        <w:pStyle w:val="ListParagraph"/>
        <w:numPr>
          <w:ilvl w:val="0"/>
          <w:numId w:val="27"/>
        </w:numPr>
        <w:autoSpaceDE w:val="0"/>
        <w:autoSpaceDN w:val="0"/>
        <w:adjustRightInd w:val="0"/>
        <w:spacing w:after="0" w:line="288" w:lineRule="auto"/>
        <w:rPr>
          <w:rFonts w:cs="Arial"/>
          <w:sz w:val="22"/>
        </w:rPr>
      </w:pPr>
      <w:r w:rsidRPr="002A499E">
        <w:rPr>
          <w:rFonts w:cs="Arial"/>
          <w:sz w:val="22"/>
        </w:rPr>
        <w:t>Global analysis of healthcare waste in the context of COVID-19: status, impacts</w:t>
      </w:r>
    </w:p>
    <w:p w14:paraId="1E1F5DD5" w14:textId="77777777" w:rsidR="00460E05" w:rsidRPr="002A499E" w:rsidRDefault="00460E05" w:rsidP="00460E05">
      <w:pPr>
        <w:pStyle w:val="NoSpacing"/>
        <w:spacing w:line="288" w:lineRule="auto"/>
        <w:ind w:left="720"/>
        <w:rPr>
          <w:rFonts w:cs="Arial"/>
        </w:rPr>
      </w:pPr>
      <w:r w:rsidRPr="002A499E">
        <w:rPr>
          <w:rFonts w:cs="Arial"/>
        </w:rPr>
        <w:t xml:space="preserve">and recommendations. Geneva: World Health Organization; 2022. </w:t>
      </w:r>
      <w:hyperlink r:id="rId15" w:history="1">
        <w:r w:rsidRPr="002A499E">
          <w:rPr>
            <w:rStyle w:val="Hyperlink"/>
            <w:rFonts w:cs="Arial"/>
          </w:rPr>
          <w:t>https://www.who.int/publications-detail-redirect/9789240039612</w:t>
        </w:r>
      </w:hyperlink>
    </w:p>
    <w:p w14:paraId="345F6635" w14:textId="77777777" w:rsidR="00460E05" w:rsidRPr="002A499E" w:rsidRDefault="00460E05" w:rsidP="00460E05">
      <w:pPr>
        <w:pStyle w:val="ListParagraph"/>
        <w:numPr>
          <w:ilvl w:val="0"/>
          <w:numId w:val="27"/>
        </w:numPr>
        <w:autoSpaceDE w:val="0"/>
        <w:autoSpaceDN w:val="0"/>
        <w:adjustRightInd w:val="0"/>
        <w:spacing w:after="0" w:line="288" w:lineRule="auto"/>
        <w:rPr>
          <w:rFonts w:cs="Arial"/>
          <w:sz w:val="22"/>
        </w:rPr>
      </w:pPr>
      <w:r w:rsidRPr="002A499E">
        <w:rPr>
          <w:rFonts w:cs="Arial"/>
          <w:sz w:val="22"/>
        </w:rPr>
        <w:t xml:space="preserve">Street, A., Vernooij, E. &amp; Rogers, M.H. Diagnostic waste: whose responsibility? Global Health 18, 30 (2022). </w:t>
      </w:r>
    </w:p>
    <w:p w14:paraId="4AE0D113" w14:textId="77777777" w:rsidR="00460E05" w:rsidRPr="002A499E" w:rsidRDefault="004E483A" w:rsidP="00460E05">
      <w:pPr>
        <w:spacing w:after="0" w:line="288" w:lineRule="auto"/>
        <w:ind w:left="720"/>
        <w:rPr>
          <w:sz w:val="22"/>
        </w:rPr>
      </w:pPr>
      <w:hyperlink r:id="rId16" w:history="1">
        <w:r w:rsidR="00460E05" w:rsidRPr="002A499E">
          <w:rPr>
            <w:rStyle w:val="Hyperlink"/>
            <w:sz w:val="22"/>
          </w:rPr>
          <w:t>https://globalizationandhealth.biomedcentral.com/articles/10.1186/s12992-022-00823-7</w:t>
        </w:r>
      </w:hyperlink>
    </w:p>
    <w:p w14:paraId="7A1F766A" w14:textId="77777777" w:rsidR="00460E05" w:rsidRPr="002A499E" w:rsidRDefault="00460E05" w:rsidP="00460E05">
      <w:pPr>
        <w:pStyle w:val="ListParagraph"/>
        <w:numPr>
          <w:ilvl w:val="0"/>
          <w:numId w:val="27"/>
        </w:numPr>
        <w:spacing w:after="0" w:line="288" w:lineRule="auto"/>
        <w:rPr>
          <w:sz w:val="22"/>
          <w:lang w:val="es-GT"/>
        </w:rPr>
      </w:pPr>
      <w:r w:rsidRPr="002A499E">
        <w:rPr>
          <w:sz w:val="22"/>
          <w:lang w:val="es-GT"/>
        </w:rPr>
        <w:t xml:space="preserve">UNU, ITU, UNITAR, ISWA. Global e-waste monitor 2020. Geneva: ITU; 2020 (https://www.itu.int/en/ITU-D/ </w:t>
      </w:r>
      <w:hyperlink r:id="rId17" w:history="1">
        <w:r w:rsidRPr="002A499E">
          <w:rPr>
            <w:rStyle w:val="Hyperlink"/>
            <w:sz w:val="22"/>
            <w:lang w:val="es-GT"/>
          </w:rPr>
          <w:t>https://www.itu.int/en/ITU-D/Environment/Documents/Toolbox/GEM_2020_EN_O21.pdf</w:t>
        </w:r>
      </w:hyperlink>
    </w:p>
    <w:p w14:paraId="240EB360" w14:textId="77777777" w:rsidR="00460E05" w:rsidRPr="002A499E" w:rsidRDefault="00460E05" w:rsidP="00460E05">
      <w:pPr>
        <w:pStyle w:val="ListParagraph"/>
        <w:numPr>
          <w:ilvl w:val="0"/>
          <w:numId w:val="27"/>
        </w:numPr>
        <w:spacing w:after="0" w:line="288" w:lineRule="auto"/>
        <w:rPr>
          <w:sz w:val="22"/>
        </w:rPr>
      </w:pPr>
      <w:r w:rsidRPr="002A499E">
        <w:rPr>
          <w:sz w:val="22"/>
        </w:rPr>
        <w:t xml:space="preserve">Compendium of WHO and other UN guidance on health and environment. </w:t>
      </w:r>
      <w:hyperlink r:id="rId18" w:history="1">
        <w:r w:rsidRPr="002A499E">
          <w:rPr>
            <w:rStyle w:val="Hyperlink"/>
            <w:sz w:val="22"/>
          </w:rPr>
          <w:t>https://cdn.who.int/media/docs/default-source/who-compendium-on-health-and-environment/who_compendium_chapter4_v2_01092021.pdf</w:t>
        </w:r>
      </w:hyperlink>
    </w:p>
    <w:p w14:paraId="63042EE2" w14:textId="77777777" w:rsidR="00460E05" w:rsidRPr="002A499E" w:rsidRDefault="00460E05" w:rsidP="00460E05">
      <w:pPr>
        <w:pStyle w:val="ListParagraph"/>
        <w:numPr>
          <w:ilvl w:val="0"/>
          <w:numId w:val="27"/>
        </w:numPr>
        <w:spacing w:after="0" w:line="288" w:lineRule="auto"/>
        <w:rPr>
          <w:sz w:val="22"/>
          <w:lang w:val="fr-FR"/>
        </w:rPr>
      </w:pPr>
      <w:r w:rsidRPr="002A499E">
        <w:rPr>
          <w:sz w:val="22"/>
        </w:rPr>
        <w:t xml:space="preserve">Basel Convention on the Control of Transboundary Movements of Hazardous Wastes and their Disposal. </w:t>
      </w:r>
      <w:r w:rsidRPr="002A499E">
        <w:rPr>
          <w:sz w:val="22"/>
          <w:lang w:val="fr-FR"/>
        </w:rPr>
        <w:t>UN Environment Programme; 1989 (</w:t>
      </w:r>
      <w:hyperlink r:id="rId19" w:history="1">
        <w:r w:rsidRPr="002A499E">
          <w:rPr>
            <w:rStyle w:val="Hyperlink"/>
            <w:sz w:val="22"/>
            <w:lang w:val="fr-FR"/>
          </w:rPr>
          <w:t>http://www.basel.int/Home/tabid/2202/Default.aspx</w:t>
        </w:r>
      </w:hyperlink>
    </w:p>
    <w:p w14:paraId="3287791B" w14:textId="77777777" w:rsidR="00460E05" w:rsidRPr="002A499E" w:rsidRDefault="00460E05" w:rsidP="00460E05">
      <w:pPr>
        <w:pStyle w:val="ListParagraph"/>
        <w:numPr>
          <w:ilvl w:val="0"/>
          <w:numId w:val="27"/>
        </w:numPr>
        <w:spacing w:after="0" w:line="288" w:lineRule="auto"/>
        <w:rPr>
          <w:sz w:val="22"/>
          <w:lang w:val="fr-FR"/>
        </w:rPr>
      </w:pPr>
      <w:r w:rsidRPr="002A499E">
        <w:rPr>
          <w:sz w:val="22"/>
        </w:rPr>
        <w:t xml:space="preserve">UNEP. Single-Use Plastics: A Roadmap for Sustainability. </w:t>
      </w:r>
      <w:r w:rsidRPr="002A499E">
        <w:rPr>
          <w:sz w:val="22"/>
          <w:lang w:val="fr-FR"/>
        </w:rPr>
        <w:t xml:space="preserve">Nairobi: United Nations Environnent Programme ; 2018 </w:t>
      </w:r>
      <w:hyperlink r:id="rId20" w:history="1">
        <w:r w:rsidRPr="002A499E">
          <w:rPr>
            <w:rStyle w:val="Hyperlink"/>
            <w:sz w:val="22"/>
            <w:lang w:val="fr-FR"/>
          </w:rPr>
          <w:t>https://www.unep.org/ietc/resources/publication/single-use-plastics-roadmap-sustainability</w:t>
        </w:r>
      </w:hyperlink>
      <w:r w:rsidRPr="002A499E">
        <w:rPr>
          <w:sz w:val="22"/>
          <w:lang w:val="fr-FR"/>
        </w:rPr>
        <w:t>.</w:t>
      </w:r>
    </w:p>
    <w:p w14:paraId="123DD4F5" w14:textId="77777777" w:rsidR="00460E05" w:rsidRDefault="00460E05" w:rsidP="00460E05">
      <w:pPr>
        <w:pStyle w:val="ListParagraph"/>
        <w:numPr>
          <w:ilvl w:val="0"/>
          <w:numId w:val="27"/>
        </w:numPr>
        <w:spacing w:after="0" w:line="288" w:lineRule="auto"/>
      </w:pPr>
      <w:r w:rsidRPr="002A499E">
        <w:rPr>
          <w:sz w:val="22"/>
        </w:rPr>
        <w:t>Technical Brief: Sustainable Health Care Waste Management, Global Fund, Feb 2020.</w:t>
      </w:r>
      <w:r>
        <w:t xml:space="preserve"> </w:t>
      </w:r>
      <w:hyperlink r:id="rId21" w:history="1">
        <w:r w:rsidRPr="002A499E">
          <w:rPr>
            <w:rStyle w:val="Hyperlink"/>
            <w:sz w:val="22"/>
          </w:rPr>
          <w:t>https://www.theglobalfund.org/media/9356/core_healthcarewastemanagement_technicalbrief_en.pdf</w:t>
        </w:r>
      </w:hyperlink>
    </w:p>
    <w:p w14:paraId="691F6DCE" w14:textId="77777777" w:rsidR="00460E05" w:rsidRPr="008775A8" w:rsidRDefault="00460E05" w:rsidP="00460E05">
      <w:pPr>
        <w:pStyle w:val="ListParagraph"/>
        <w:spacing w:after="0" w:line="288" w:lineRule="auto"/>
      </w:pPr>
    </w:p>
    <w:p w14:paraId="085E6170" w14:textId="77777777" w:rsidR="00460E05" w:rsidRPr="004B007E" w:rsidRDefault="00460E05" w:rsidP="002A499E">
      <w:pPr>
        <w:pStyle w:val="Heading1"/>
        <w:numPr>
          <w:ilvl w:val="0"/>
          <w:numId w:val="0"/>
        </w:numPr>
        <w:spacing w:before="0" w:after="0" w:line="288" w:lineRule="auto"/>
      </w:pPr>
    </w:p>
    <w:p w14:paraId="4A26C79A" w14:textId="77777777" w:rsidR="00460E05" w:rsidRPr="00E81AC0" w:rsidRDefault="00460E05" w:rsidP="00460E05">
      <w:pPr>
        <w:spacing w:after="0" w:line="288" w:lineRule="auto"/>
      </w:pPr>
    </w:p>
    <w:sectPr w:rsidR="00460E05" w:rsidRPr="00E81AC0" w:rsidSect="002A499E">
      <w:headerReference w:type="even" r:id="rId22"/>
      <w:headerReference w:type="default" r:id="rId23"/>
      <w:footerReference w:type="even" r:id="rId24"/>
      <w:footerReference w:type="default" r:id="rId25"/>
      <w:headerReference w:type="first" r:id="rId26"/>
      <w:footerReference w:type="first" r:id="rId27"/>
      <w:endnotePr>
        <w:numFmt w:val="chicago"/>
      </w:endnotePr>
      <w:pgSz w:w="11906" w:h="16838" w:code="9"/>
      <w:pgMar w:top="851" w:right="1418" w:bottom="2250"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93181" w14:textId="77777777" w:rsidR="005C31CA" w:rsidRDefault="005C31CA" w:rsidP="0013691B">
      <w:pPr>
        <w:spacing w:after="0" w:line="240" w:lineRule="auto"/>
      </w:pPr>
      <w:r>
        <w:separator/>
      </w:r>
    </w:p>
  </w:endnote>
  <w:endnote w:type="continuationSeparator" w:id="0">
    <w:p w14:paraId="09F0AF59" w14:textId="77777777" w:rsidR="005C31CA" w:rsidRDefault="005C31CA"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2A6D8" w14:textId="77777777" w:rsidR="00711BFA" w:rsidRDefault="00711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3A6FFA2F" w14:textId="77777777" w:rsidTr="00F602C6">
      <w:trPr>
        <w:trHeight w:val="283"/>
      </w:trPr>
      <w:tc>
        <w:tcPr>
          <w:tcW w:w="10204" w:type="dxa"/>
          <w:gridSpan w:val="2"/>
          <w:tcBorders>
            <w:top w:val="single" w:sz="4" w:space="0" w:color="auto"/>
          </w:tcBorders>
          <w:vAlign w:val="bottom"/>
        </w:tcPr>
        <w:p w14:paraId="4B87F933" w14:textId="77777777" w:rsidR="004C6793" w:rsidRPr="008F46F0" w:rsidRDefault="004C6793" w:rsidP="00F602C6">
          <w:pPr>
            <w:pStyle w:val="PageNo"/>
          </w:pPr>
          <w:bookmarkStart w:id="0" w:name="_Hlk73008952"/>
        </w:p>
      </w:tc>
    </w:tr>
    <w:tr w:rsidR="004C6793" w14:paraId="1B18EEE4" w14:textId="77777777" w:rsidTr="00F602C6">
      <w:sdt>
        <w:sdtPr>
          <w:alias w:val="Form.DocLang.Logo_horizontal"/>
          <w:tag w:val="{&quot;templafy&quot;:{&quot;id&quot;:&quot;7c7a3819-4a84-4145-8f5d-0268b9a8c042&quot;}}"/>
          <w:id w:val="1796407923"/>
          <w:picture/>
        </w:sdtPr>
        <w:sdtEndPr/>
        <w:sdtContent>
          <w:tc>
            <w:tcPr>
              <w:tcW w:w="5102" w:type="dxa"/>
              <w:vAlign w:val="bottom"/>
            </w:tcPr>
            <w:p w14:paraId="74DDC30C" w14:textId="77777777" w:rsidR="004C6793" w:rsidRDefault="0028306D" w:rsidP="00F602C6">
              <w:pPr>
                <w:pStyle w:val="Footer"/>
              </w:pPr>
              <w:r>
                <w:rPr>
                  <w:noProof/>
                </w:rPr>
                <w:drawing>
                  <wp:inline distT="0" distB="0" distL="0" distR="0" wp14:anchorId="3C1C7C00" wp14:editId="2BCDE072">
                    <wp:extent cx="1620259" cy="15228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890182965"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7A90ABBA"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31F9F363" w14:textId="77777777" w:rsidTr="00F602C6">
      <w:trPr>
        <w:trHeight w:val="454"/>
      </w:trPr>
      <w:tc>
        <w:tcPr>
          <w:tcW w:w="10204" w:type="dxa"/>
          <w:gridSpan w:val="2"/>
          <w:vAlign w:val="bottom"/>
        </w:tcPr>
        <w:p w14:paraId="26915F18" w14:textId="77777777" w:rsidR="00F602C6" w:rsidRPr="00955A75" w:rsidRDefault="00F602C6" w:rsidP="00F602C6">
          <w:pPr>
            <w:pStyle w:val="Footer"/>
            <w:rPr>
              <w:sz w:val="14"/>
              <w:szCs w:val="14"/>
            </w:rPr>
          </w:pPr>
        </w:p>
      </w:tc>
    </w:tr>
    <w:bookmarkEnd w:id="0"/>
  </w:tbl>
  <w:p w14:paraId="5CFAE45F" w14:textId="77777777" w:rsidR="002A7635" w:rsidRPr="001100A4" w:rsidRDefault="002A7635" w:rsidP="0011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3556AA50" w14:textId="77777777" w:rsidTr="000E3465">
      <w:trPr>
        <w:trHeight w:val="283"/>
      </w:trPr>
      <w:tc>
        <w:tcPr>
          <w:tcW w:w="10204" w:type="dxa"/>
          <w:gridSpan w:val="2"/>
          <w:tcBorders>
            <w:top w:val="single" w:sz="4" w:space="0" w:color="auto"/>
          </w:tcBorders>
          <w:vAlign w:val="bottom"/>
        </w:tcPr>
        <w:p w14:paraId="7E76F9B6" w14:textId="77777777" w:rsidR="00026D48" w:rsidRPr="008F46F0" w:rsidRDefault="00026D48" w:rsidP="00026D48">
          <w:pPr>
            <w:pStyle w:val="PageNo"/>
          </w:pPr>
        </w:p>
      </w:tc>
    </w:tr>
    <w:tr w:rsidR="00026D48" w14:paraId="7321D62C" w14:textId="77777777" w:rsidTr="000E3465">
      <w:sdt>
        <w:sdtPr>
          <w:alias w:val="Form.DocLang.Logo_horizontal"/>
          <w:tag w:val="{&quot;templafy&quot;:{&quot;id&quot;:&quot;aaaaecd6-e632-44c7-8297-b24f27a9a15c&quot;}}"/>
          <w:id w:val="-739715887"/>
          <w:picture/>
        </w:sdtPr>
        <w:sdtEndPr/>
        <w:sdtContent>
          <w:tc>
            <w:tcPr>
              <w:tcW w:w="5102" w:type="dxa"/>
              <w:vAlign w:val="bottom"/>
            </w:tcPr>
            <w:p w14:paraId="58D087D1" w14:textId="77777777" w:rsidR="00026D48" w:rsidRDefault="0028306D" w:rsidP="00026D48">
              <w:pPr>
                <w:pStyle w:val="Footer"/>
              </w:pPr>
              <w:r>
                <w:rPr>
                  <w:noProof/>
                </w:rPr>
                <w:drawing>
                  <wp:inline distT="0" distB="0" distL="0" distR="0" wp14:anchorId="23812234" wp14:editId="2C09E1A9">
                    <wp:extent cx="1620259" cy="15228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766620725"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52F74513"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61464428" w14:textId="77777777" w:rsidTr="000E3465">
      <w:trPr>
        <w:trHeight w:val="454"/>
      </w:trPr>
      <w:tc>
        <w:tcPr>
          <w:tcW w:w="10204" w:type="dxa"/>
          <w:gridSpan w:val="2"/>
          <w:vAlign w:val="bottom"/>
        </w:tcPr>
        <w:p w14:paraId="742241E1" w14:textId="77777777" w:rsidR="00026D48" w:rsidRPr="00955A75" w:rsidRDefault="00026D48" w:rsidP="00026D48">
          <w:pPr>
            <w:pStyle w:val="Footer"/>
            <w:rPr>
              <w:sz w:val="14"/>
              <w:szCs w:val="14"/>
            </w:rPr>
          </w:pPr>
        </w:p>
      </w:tc>
    </w:tr>
  </w:tbl>
  <w:p w14:paraId="5FB19044"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89B9D" w14:textId="77777777" w:rsidR="005C31CA" w:rsidRDefault="005C31CA" w:rsidP="0013691B">
      <w:pPr>
        <w:spacing w:after="0" w:line="240" w:lineRule="auto"/>
      </w:pPr>
      <w:r>
        <w:separator/>
      </w:r>
    </w:p>
  </w:footnote>
  <w:footnote w:type="continuationSeparator" w:id="0">
    <w:p w14:paraId="17C81D7A" w14:textId="77777777" w:rsidR="005C31CA" w:rsidRDefault="005C31CA" w:rsidP="0013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ED76E" w14:textId="77777777" w:rsidR="00711BFA" w:rsidRDefault="00711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1EC45" w14:textId="77777777" w:rsidR="00711BFA" w:rsidRDefault="00711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2059EBBF" w14:textId="77777777" w:rsidTr="007E5B22">
      <w:trPr>
        <w:trHeight w:val="454"/>
      </w:trPr>
      <w:sdt>
        <w:sdtPr>
          <w:alias w:val="Form.DocLang.Logo_stacked_colour"/>
          <w:tag w:val="{&quot;templafy&quot;:{&quot;id&quot;:&quot;ebfb5f66-c6d5-4147-b85f-f4ac7de874b6&quot;}}"/>
          <w:id w:val="471336006"/>
          <w:lock w:val="contentLocked"/>
          <w:picture/>
        </w:sdtPr>
        <w:sdtEndPr/>
        <w:sdtContent>
          <w:tc>
            <w:tcPr>
              <w:tcW w:w="2268" w:type="dxa"/>
              <w:tcBorders>
                <w:top w:val="nil"/>
                <w:left w:val="nil"/>
                <w:bottom w:val="nil"/>
                <w:right w:val="nil"/>
              </w:tcBorders>
            </w:tcPr>
            <w:p w14:paraId="511EA983" w14:textId="77777777" w:rsidR="00885674" w:rsidRDefault="00885674" w:rsidP="00885674">
              <w:pPr>
                <w:pStyle w:val="Header"/>
              </w:pPr>
              <w:r>
                <w:rPr>
                  <w:noProof/>
                </w:rPr>
                <w:drawing>
                  <wp:inline distT="0" distB="0" distL="0" distR="0" wp14:anchorId="14284417" wp14:editId="67C8F58D">
                    <wp:extent cx="1437770" cy="493200"/>
                    <wp:effectExtent l="0" t="0" r="0" b="0"/>
                    <wp:docPr id="11"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08674240"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34B5BA1B" w14:textId="77777777" w:rsidR="00026D48" w:rsidRDefault="00026D48">
    <w:pPr>
      <w:pStyle w:val="Header"/>
    </w:pPr>
  </w:p>
  <w:p w14:paraId="3AB16EBB" w14:textId="77777777" w:rsidR="00885674" w:rsidRDefault="00885674">
    <w:pPr>
      <w:pStyle w:val="Header"/>
    </w:pPr>
  </w:p>
  <w:p w14:paraId="43F1DC5E"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F7A6D4E"/>
    <w:multiLevelType w:val="multilevel"/>
    <w:tmpl w:val="17A0D06E"/>
    <w:numStyleLink w:val="NumbListAlpha"/>
  </w:abstractNum>
  <w:abstractNum w:abstractNumId="12"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5"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F22D67"/>
    <w:multiLevelType w:val="hybridMultilevel"/>
    <w:tmpl w:val="F43683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18" w15:restartNumberingAfterBreak="0">
    <w:nsid w:val="4E707783"/>
    <w:multiLevelType w:val="hybridMultilevel"/>
    <w:tmpl w:val="C22465F0"/>
    <w:lvl w:ilvl="0" w:tplc="07D4A7D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00B24"/>
    <w:multiLevelType w:val="hybridMultilevel"/>
    <w:tmpl w:val="2D963364"/>
    <w:lvl w:ilvl="0" w:tplc="F198E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AC7247"/>
    <w:multiLevelType w:val="multilevel"/>
    <w:tmpl w:val="6926581A"/>
    <w:numStyleLink w:val="ArticleSection"/>
  </w:abstractNum>
  <w:abstractNum w:abstractNumId="21" w15:restartNumberingAfterBreak="0">
    <w:nsid w:val="522401CA"/>
    <w:multiLevelType w:val="hybridMultilevel"/>
    <w:tmpl w:val="C0089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4"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7345293"/>
    <w:multiLevelType w:val="hybridMultilevel"/>
    <w:tmpl w:val="28525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475345">
    <w:abstractNumId w:val="11"/>
  </w:num>
  <w:num w:numId="2" w16cid:durableId="598609718">
    <w:abstractNumId w:val="14"/>
  </w:num>
  <w:num w:numId="3" w16cid:durableId="1223829839">
    <w:abstractNumId w:val="15"/>
  </w:num>
  <w:num w:numId="4" w16cid:durableId="1617634163">
    <w:abstractNumId w:val="24"/>
  </w:num>
  <w:num w:numId="5" w16cid:durableId="1167091680">
    <w:abstractNumId w:val="12"/>
  </w:num>
  <w:num w:numId="6" w16cid:durableId="538057715">
    <w:abstractNumId w:val="22"/>
  </w:num>
  <w:num w:numId="7" w16cid:durableId="207576064">
    <w:abstractNumId w:val="25"/>
  </w:num>
  <w:num w:numId="8" w16cid:durableId="1426994856">
    <w:abstractNumId w:val="26"/>
  </w:num>
  <w:num w:numId="9" w16cid:durableId="1238125082">
    <w:abstractNumId w:val="23"/>
  </w:num>
  <w:num w:numId="10" w16cid:durableId="1238050594">
    <w:abstractNumId w:val="9"/>
  </w:num>
  <w:num w:numId="11" w16cid:durableId="1261839282">
    <w:abstractNumId w:val="7"/>
  </w:num>
  <w:num w:numId="12" w16cid:durableId="152764698">
    <w:abstractNumId w:val="6"/>
  </w:num>
  <w:num w:numId="13" w16cid:durableId="891424688">
    <w:abstractNumId w:val="5"/>
  </w:num>
  <w:num w:numId="14" w16cid:durableId="612833613">
    <w:abstractNumId w:val="4"/>
  </w:num>
  <w:num w:numId="15" w16cid:durableId="1113668141">
    <w:abstractNumId w:val="8"/>
  </w:num>
  <w:num w:numId="16" w16cid:durableId="2038694727">
    <w:abstractNumId w:val="3"/>
  </w:num>
  <w:num w:numId="17" w16cid:durableId="1187065750">
    <w:abstractNumId w:val="2"/>
  </w:num>
  <w:num w:numId="18" w16cid:durableId="2106533516">
    <w:abstractNumId w:val="1"/>
  </w:num>
  <w:num w:numId="19" w16cid:durableId="438329754">
    <w:abstractNumId w:val="0"/>
  </w:num>
  <w:num w:numId="20" w16cid:durableId="1428694625">
    <w:abstractNumId w:val="17"/>
  </w:num>
  <w:num w:numId="21" w16cid:durableId="275069025">
    <w:abstractNumId w:val="10"/>
  </w:num>
  <w:num w:numId="22" w16cid:durableId="623465600">
    <w:abstractNumId w:val="13"/>
  </w:num>
  <w:num w:numId="23" w16cid:durableId="78909793">
    <w:abstractNumId w:val="20"/>
  </w:num>
  <w:num w:numId="24" w16cid:durableId="1468009084">
    <w:abstractNumId w:val="27"/>
  </w:num>
  <w:num w:numId="25" w16cid:durableId="1340156357">
    <w:abstractNumId w:val="19"/>
  </w:num>
  <w:num w:numId="26" w16cid:durableId="847019917">
    <w:abstractNumId w:val="16"/>
  </w:num>
  <w:num w:numId="27" w16cid:durableId="1177617186">
    <w:abstractNumId w:val="18"/>
  </w:num>
  <w:num w:numId="28" w16cid:durableId="15058962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67AC"/>
    <w:rsid w:val="00010133"/>
    <w:rsid w:val="000226A7"/>
    <w:rsid w:val="00024539"/>
    <w:rsid w:val="00024DFE"/>
    <w:rsid w:val="00026B43"/>
    <w:rsid w:val="00026D48"/>
    <w:rsid w:val="00027D89"/>
    <w:rsid w:val="00031C81"/>
    <w:rsid w:val="00034984"/>
    <w:rsid w:val="00047C4F"/>
    <w:rsid w:val="00054E5F"/>
    <w:rsid w:val="00057F5E"/>
    <w:rsid w:val="00072DA3"/>
    <w:rsid w:val="000B4C9F"/>
    <w:rsid w:val="000C377B"/>
    <w:rsid w:val="000C647F"/>
    <w:rsid w:val="000C75B9"/>
    <w:rsid w:val="000D4EBC"/>
    <w:rsid w:val="000D7744"/>
    <w:rsid w:val="000F5BD5"/>
    <w:rsid w:val="001100A4"/>
    <w:rsid w:val="00110820"/>
    <w:rsid w:val="00113697"/>
    <w:rsid w:val="00122DF8"/>
    <w:rsid w:val="00133325"/>
    <w:rsid w:val="0013691B"/>
    <w:rsid w:val="00151409"/>
    <w:rsid w:val="001540E2"/>
    <w:rsid w:val="00171C99"/>
    <w:rsid w:val="00197AE7"/>
    <w:rsid w:val="001C19AC"/>
    <w:rsid w:val="001C3DD1"/>
    <w:rsid w:val="00234462"/>
    <w:rsid w:val="00235CA2"/>
    <w:rsid w:val="00236822"/>
    <w:rsid w:val="0024020E"/>
    <w:rsid w:val="0025351E"/>
    <w:rsid w:val="00254D2F"/>
    <w:rsid w:val="00266AEC"/>
    <w:rsid w:val="00267DB5"/>
    <w:rsid w:val="0027163F"/>
    <w:rsid w:val="0027457F"/>
    <w:rsid w:val="00276608"/>
    <w:rsid w:val="0028306D"/>
    <w:rsid w:val="00283BED"/>
    <w:rsid w:val="00284808"/>
    <w:rsid w:val="002938CB"/>
    <w:rsid w:val="0029796C"/>
    <w:rsid w:val="002A4684"/>
    <w:rsid w:val="002A499E"/>
    <w:rsid w:val="002A5B89"/>
    <w:rsid w:val="002A72DB"/>
    <w:rsid w:val="002A7635"/>
    <w:rsid w:val="002B07E9"/>
    <w:rsid w:val="002B0F35"/>
    <w:rsid w:val="002C35FE"/>
    <w:rsid w:val="002C3CEB"/>
    <w:rsid w:val="002D2993"/>
    <w:rsid w:val="002F2F7C"/>
    <w:rsid w:val="00314800"/>
    <w:rsid w:val="003178C2"/>
    <w:rsid w:val="00331B24"/>
    <w:rsid w:val="00335220"/>
    <w:rsid w:val="00362590"/>
    <w:rsid w:val="00364326"/>
    <w:rsid w:val="0038486D"/>
    <w:rsid w:val="003A0F8A"/>
    <w:rsid w:val="003A5EB1"/>
    <w:rsid w:val="003B09C8"/>
    <w:rsid w:val="003D70F4"/>
    <w:rsid w:val="003F11D5"/>
    <w:rsid w:val="003F167F"/>
    <w:rsid w:val="003F7E57"/>
    <w:rsid w:val="00401CED"/>
    <w:rsid w:val="00401ED6"/>
    <w:rsid w:val="00402D3D"/>
    <w:rsid w:val="00421004"/>
    <w:rsid w:val="00426FC0"/>
    <w:rsid w:val="004345DC"/>
    <w:rsid w:val="00437DC3"/>
    <w:rsid w:val="00441334"/>
    <w:rsid w:val="004431F4"/>
    <w:rsid w:val="004456B9"/>
    <w:rsid w:val="0044609B"/>
    <w:rsid w:val="00451CBE"/>
    <w:rsid w:val="004551D2"/>
    <w:rsid w:val="00460E05"/>
    <w:rsid w:val="00464F55"/>
    <w:rsid w:val="00477290"/>
    <w:rsid w:val="004B567E"/>
    <w:rsid w:val="004C6793"/>
    <w:rsid w:val="004D4827"/>
    <w:rsid w:val="004E483A"/>
    <w:rsid w:val="004E70C4"/>
    <w:rsid w:val="004F5CDF"/>
    <w:rsid w:val="0053784E"/>
    <w:rsid w:val="0055523F"/>
    <w:rsid w:val="00557654"/>
    <w:rsid w:val="005578E8"/>
    <w:rsid w:val="00560074"/>
    <w:rsid w:val="00560096"/>
    <w:rsid w:val="00560302"/>
    <w:rsid w:val="00562B3D"/>
    <w:rsid w:val="005659E0"/>
    <w:rsid w:val="00576254"/>
    <w:rsid w:val="0058415B"/>
    <w:rsid w:val="005945F4"/>
    <w:rsid w:val="005A088F"/>
    <w:rsid w:val="005A6EC5"/>
    <w:rsid w:val="005A7DE2"/>
    <w:rsid w:val="005B03D1"/>
    <w:rsid w:val="005C31CA"/>
    <w:rsid w:val="005D02D2"/>
    <w:rsid w:val="005E0753"/>
    <w:rsid w:val="005E0AB3"/>
    <w:rsid w:val="005F1396"/>
    <w:rsid w:val="005F6D34"/>
    <w:rsid w:val="00607164"/>
    <w:rsid w:val="00614522"/>
    <w:rsid w:val="00631314"/>
    <w:rsid w:val="0063467F"/>
    <w:rsid w:val="00644ADF"/>
    <w:rsid w:val="0064597B"/>
    <w:rsid w:val="006533BD"/>
    <w:rsid w:val="00667DF0"/>
    <w:rsid w:val="00673D5D"/>
    <w:rsid w:val="00675C66"/>
    <w:rsid w:val="00681ABF"/>
    <w:rsid w:val="006A627F"/>
    <w:rsid w:val="006C1138"/>
    <w:rsid w:val="006C1655"/>
    <w:rsid w:val="006D61AC"/>
    <w:rsid w:val="006D65C9"/>
    <w:rsid w:val="006D7841"/>
    <w:rsid w:val="006D7EAB"/>
    <w:rsid w:val="006E0942"/>
    <w:rsid w:val="006E3D54"/>
    <w:rsid w:val="006E44DB"/>
    <w:rsid w:val="007043C7"/>
    <w:rsid w:val="00710A12"/>
    <w:rsid w:val="00710D4C"/>
    <w:rsid w:val="00711BFA"/>
    <w:rsid w:val="00723FD2"/>
    <w:rsid w:val="007454A4"/>
    <w:rsid w:val="0075707F"/>
    <w:rsid w:val="00757930"/>
    <w:rsid w:val="00760AF4"/>
    <w:rsid w:val="00777F70"/>
    <w:rsid w:val="007A450B"/>
    <w:rsid w:val="007A59CE"/>
    <w:rsid w:val="007A5D57"/>
    <w:rsid w:val="007C2970"/>
    <w:rsid w:val="007E323F"/>
    <w:rsid w:val="007F0BD8"/>
    <w:rsid w:val="007F1274"/>
    <w:rsid w:val="007F6CC2"/>
    <w:rsid w:val="00805279"/>
    <w:rsid w:val="008129C4"/>
    <w:rsid w:val="0081704F"/>
    <w:rsid w:val="00822D0E"/>
    <w:rsid w:val="00823A34"/>
    <w:rsid w:val="008270AE"/>
    <w:rsid w:val="00835497"/>
    <w:rsid w:val="00842C7E"/>
    <w:rsid w:val="008514B0"/>
    <w:rsid w:val="00851B9B"/>
    <w:rsid w:val="00865D6D"/>
    <w:rsid w:val="008664A6"/>
    <w:rsid w:val="00866542"/>
    <w:rsid w:val="00871545"/>
    <w:rsid w:val="00885674"/>
    <w:rsid w:val="00892591"/>
    <w:rsid w:val="008A3772"/>
    <w:rsid w:val="008B4CC6"/>
    <w:rsid w:val="008C0962"/>
    <w:rsid w:val="008C7953"/>
    <w:rsid w:val="008D5732"/>
    <w:rsid w:val="008E37CF"/>
    <w:rsid w:val="009026A1"/>
    <w:rsid w:val="00906555"/>
    <w:rsid w:val="00910134"/>
    <w:rsid w:val="00910C10"/>
    <w:rsid w:val="00914CE1"/>
    <w:rsid w:val="009203E3"/>
    <w:rsid w:val="00925490"/>
    <w:rsid w:val="0093555B"/>
    <w:rsid w:val="00940386"/>
    <w:rsid w:val="009550FD"/>
    <w:rsid w:val="00955A75"/>
    <w:rsid w:val="00957A4D"/>
    <w:rsid w:val="009710A7"/>
    <w:rsid w:val="00985B1B"/>
    <w:rsid w:val="0098682A"/>
    <w:rsid w:val="00997B89"/>
    <w:rsid w:val="009A28E5"/>
    <w:rsid w:val="009A38EF"/>
    <w:rsid w:val="009B5923"/>
    <w:rsid w:val="009C1CC3"/>
    <w:rsid w:val="009D1E7E"/>
    <w:rsid w:val="009F0C9D"/>
    <w:rsid w:val="009F1B70"/>
    <w:rsid w:val="009F1F7D"/>
    <w:rsid w:val="009F6A2F"/>
    <w:rsid w:val="00A10DAE"/>
    <w:rsid w:val="00A130EE"/>
    <w:rsid w:val="00A137ED"/>
    <w:rsid w:val="00A13A2F"/>
    <w:rsid w:val="00A13C52"/>
    <w:rsid w:val="00A24EE3"/>
    <w:rsid w:val="00A33760"/>
    <w:rsid w:val="00A358D6"/>
    <w:rsid w:val="00A372CB"/>
    <w:rsid w:val="00A4115D"/>
    <w:rsid w:val="00A425D8"/>
    <w:rsid w:val="00A4492A"/>
    <w:rsid w:val="00A44996"/>
    <w:rsid w:val="00A47058"/>
    <w:rsid w:val="00A54EF5"/>
    <w:rsid w:val="00A70C41"/>
    <w:rsid w:val="00A77789"/>
    <w:rsid w:val="00A77CCB"/>
    <w:rsid w:val="00A80BD5"/>
    <w:rsid w:val="00AA1E00"/>
    <w:rsid w:val="00AA6133"/>
    <w:rsid w:val="00AD7D8D"/>
    <w:rsid w:val="00AE02D7"/>
    <w:rsid w:val="00AF2473"/>
    <w:rsid w:val="00B070D7"/>
    <w:rsid w:val="00B25E0F"/>
    <w:rsid w:val="00B266D3"/>
    <w:rsid w:val="00B27189"/>
    <w:rsid w:val="00B44958"/>
    <w:rsid w:val="00B45357"/>
    <w:rsid w:val="00B501E9"/>
    <w:rsid w:val="00B57683"/>
    <w:rsid w:val="00B60A27"/>
    <w:rsid w:val="00B60E99"/>
    <w:rsid w:val="00B64FBE"/>
    <w:rsid w:val="00B677ED"/>
    <w:rsid w:val="00B87E2A"/>
    <w:rsid w:val="00BA0F29"/>
    <w:rsid w:val="00BA4B58"/>
    <w:rsid w:val="00BB77C6"/>
    <w:rsid w:val="00BB782B"/>
    <w:rsid w:val="00BC19AC"/>
    <w:rsid w:val="00BC7B0F"/>
    <w:rsid w:val="00BD19BF"/>
    <w:rsid w:val="00BD6B50"/>
    <w:rsid w:val="00C16BFB"/>
    <w:rsid w:val="00C16F89"/>
    <w:rsid w:val="00C24EAA"/>
    <w:rsid w:val="00C25475"/>
    <w:rsid w:val="00C26026"/>
    <w:rsid w:val="00C334E8"/>
    <w:rsid w:val="00C43326"/>
    <w:rsid w:val="00C47397"/>
    <w:rsid w:val="00C54335"/>
    <w:rsid w:val="00C551FC"/>
    <w:rsid w:val="00C66623"/>
    <w:rsid w:val="00C73482"/>
    <w:rsid w:val="00CA1714"/>
    <w:rsid w:val="00CA5409"/>
    <w:rsid w:val="00CC5931"/>
    <w:rsid w:val="00CC6A77"/>
    <w:rsid w:val="00CE0CB8"/>
    <w:rsid w:val="00CE665B"/>
    <w:rsid w:val="00D00A5F"/>
    <w:rsid w:val="00D02C53"/>
    <w:rsid w:val="00D06ADA"/>
    <w:rsid w:val="00D1315F"/>
    <w:rsid w:val="00D24284"/>
    <w:rsid w:val="00D30BFB"/>
    <w:rsid w:val="00D42C6A"/>
    <w:rsid w:val="00D45112"/>
    <w:rsid w:val="00D528E8"/>
    <w:rsid w:val="00D55974"/>
    <w:rsid w:val="00D642CC"/>
    <w:rsid w:val="00D65403"/>
    <w:rsid w:val="00D66BDA"/>
    <w:rsid w:val="00D7259D"/>
    <w:rsid w:val="00D840CF"/>
    <w:rsid w:val="00D8465B"/>
    <w:rsid w:val="00D96E24"/>
    <w:rsid w:val="00DB4265"/>
    <w:rsid w:val="00DB4DC9"/>
    <w:rsid w:val="00DC14E1"/>
    <w:rsid w:val="00DC74C5"/>
    <w:rsid w:val="00DD1D6F"/>
    <w:rsid w:val="00DD617D"/>
    <w:rsid w:val="00DE0B02"/>
    <w:rsid w:val="00DF075F"/>
    <w:rsid w:val="00E03C4E"/>
    <w:rsid w:val="00E15857"/>
    <w:rsid w:val="00E17D58"/>
    <w:rsid w:val="00E35592"/>
    <w:rsid w:val="00E362B7"/>
    <w:rsid w:val="00E42F93"/>
    <w:rsid w:val="00E46296"/>
    <w:rsid w:val="00E71D84"/>
    <w:rsid w:val="00E77AF7"/>
    <w:rsid w:val="00E81AC0"/>
    <w:rsid w:val="00E9119A"/>
    <w:rsid w:val="00EA1162"/>
    <w:rsid w:val="00EA1625"/>
    <w:rsid w:val="00EA2920"/>
    <w:rsid w:val="00EA6E13"/>
    <w:rsid w:val="00EA7458"/>
    <w:rsid w:val="00EB51A7"/>
    <w:rsid w:val="00EC62E6"/>
    <w:rsid w:val="00EE2E56"/>
    <w:rsid w:val="00EE4D8A"/>
    <w:rsid w:val="00EF2929"/>
    <w:rsid w:val="00F1127F"/>
    <w:rsid w:val="00F21DC8"/>
    <w:rsid w:val="00F253A4"/>
    <w:rsid w:val="00F34650"/>
    <w:rsid w:val="00F34F88"/>
    <w:rsid w:val="00F46906"/>
    <w:rsid w:val="00F527CC"/>
    <w:rsid w:val="00F602C6"/>
    <w:rsid w:val="00F63C52"/>
    <w:rsid w:val="00F6756A"/>
    <w:rsid w:val="00F90F48"/>
    <w:rsid w:val="00FA3D5E"/>
    <w:rsid w:val="00FA4331"/>
    <w:rsid w:val="00FA4EE9"/>
    <w:rsid w:val="00FB00EB"/>
    <w:rsid w:val="00FB2518"/>
    <w:rsid w:val="00FB4D40"/>
    <w:rsid w:val="00FD1D2C"/>
    <w:rsid w:val="00FD3B47"/>
    <w:rsid w:val="00FD4536"/>
    <w:rsid w:val="00FD7D0C"/>
    <w:rsid w:val="00FE3DA8"/>
    <w:rsid w:val="00FE62D5"/>
    <w:rsid w:val="00FF2CD3"/>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A1F1F"/>
  <w15:chartTrackingRefBased/>
  <w15:docId w15:val="{E949B01E-EBC5-4F44-A962-6BB3CE94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9"/>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9"/>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20"/>
      </w:numPr>
      <w:spacing w:after="120"/>
      <w:contextualSpacing/>
      <w:jc w:val="both"/>
    </w:pPr>
    <w:rPr>
      <w:szCs w:val="20"/>
    </w:rPr>
  </w:style>
  <w:style w:type="paragraph" w:customStyle="1" w:styleId="AlphaList2">
    <w:name w:val="AlphaList 2"/>
    <w:basedOn w:val="Normal"/>
    <w:uiPriority w:val="1"/>
    <w:qFormat/>
    <w:rsid w:val="00607164"/>
    <w:pPr>
      <w:numPr>
        <w:ilvl w:val="1"/>
        <w:numId w:val="20"/>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semiHidden/>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semiHidden/>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link w:val="ListParagraphChar"/>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character" w:customStyle="1" w:styleId="ListParagraphChar">
    <w:name w:val="List Paragraph Char"/>
    <w:basedOn w:val="DefaultParagraphFont"/>
    <w:link w:val="ListParagraph"/>
    <w:uiPriority w:val="34"/>
    <w:rsid w:val="00460E05"/>
    <w:rPr>
      <w:sz w:val="24"/>
      <w:lang w:val="en-US"/>
    </w:rPr>
  </w:style>
  <w:style w:type="paragraph" w:styleId="Revision">
    <w:name w:val="Revision"/>
    <w:hidden/>
    <w:uiPriority w:val="99"/>
    <w:semiHidden/>
    <w:rsid w:val="000D4EBC"/>
    <w:pPr>
      <w:spacing w:before="0"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7775">
      <w:bodyDiv w:val="1"/>
      <w:marLeft w:val="0"/>
      <w:marRight w:val="0"/>
      <w:marTop w:val="0"/>
      <w:marBottom w:val="0"/>
      <w:divBdr>
        <w:top w:val="none" w:sz="0" w:space="0" w:color="auto"/>
        <w:left w:val="none" w:sz="0" w:space="0" w:color="auto"/>
        <w:bottom w:val="none" w:sz="0" w:space="0" w:color="auto"/>
        <w:right w:val="none" w:sz="0" w:space="0" w:color="auto"/>
      </w:divBdr>
    </w:div>
    <w:div w:id="344282207">
      <w:bodyDiv w:val="1"/>
      <w:marLeft w:val="0"/>
      <w:marRight w:val="0"/>
      <w:marTop w:val="0"/>
      <w:marBottom w:val="0"/>
      <w:divBdr>
        <w:top w:val="none" w:sz="0" w:space="0" w:color="auto"/>
        <w:left w:val="none" w:sz="0" w:space="0" w:color="auto"/>
        <w:bottom w:val="none" w:sz="0" w:space="0" w:color="auto"/>
        <w:right w:val="none" w:sz="0" w:space="0" w:color="auto"/>
      </w:divBdr>
    </w:div>
    <w:div w:id="1200823376">
      <w:bodyDiv w:val="1"/>
      <w:marLeft w:val="0"/>
      <w:marRight w:val="0"/>
      <w:marTop w:val="0"/>
      <w:marBottom w:val="0"/>
      <w:divBdr>
        <w:top w:val="none" w:sz="0" w:space="0" w:color="auto"/>
        <w:left w:val="none" w:sz="0" w:space="0" w:color="auto"/>
        <w:bottom w:val="none" w:sz="0" w:space="0" w:color="auto"/>
        <w:right w:val="none" w:sz="0" w:space="0" w:color="auto"/>
      </w:divBdr>
    </w:div>
    <w:div w:id="1215461061">
      <w:bodyDiv w:val="1"/>
      <w:marLeft w:val="0"/>
      <w:marRight w:val="0"/>
      <w:marTop w:val="0"/>
      <w:marBottom w:val="0"/>
      <w:divBdr>
        <w:top w:val="none" w:sz="0" w:space="0" w:color="auto"/>
        <w:left w:val="none" w:sz="0" w:space="0" w:color="auto"/>
        <w:bottom w:val="none" w:sz="0" w:space="0" w:color="auto"/>
        <w:right w:val="none" w:sz="0" w:space="0" w:color="auto"/>
      </w:divBdr>
    </w:div>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heglobalfund.org/media/15208/lfa_health-care-waste-management-investment_tor_en.docx" TargetMode="External"/><Relationship Id="rId18" Type="http://schemas.openxmlformats.org/officeDocument/2006/relationships/hyperlink" Target="https://cdn.who.int/media/docs/default-source/who-compendium-on-health-and-environment/who_compendium_chapter4_v2_01092021.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theglobalfund.org/media/9356/core_healthcarewastemanagement_technicalbrief_en.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tu.int/en/ITU-D/Environment/Documents/Toolbox/GEM_2020_EN_O21.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lobalizationandhealth.biomedcentral.com/articles/10.1186/s12992-022-00823-7" TargetMode="External"/><Relationship Id="rId20" Type="http://schemas.openxmlformats.org/officeDocument/2006/relationships/hyperlink" Target="https://www.unep.org/ietc/resources/publication/single-use-plastics-roadmap-sustainabil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who.int/publications-detail-redirect/978924003961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basel.int/Home/tabid/2202/Default.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globalfund.org/media/11964/lfa_health-care-waste-management-assessment_tool_en.xlsx"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ichelt\AppData\Roaming\Microsoft\Templates\GF%20Report%20Template%201%20Column.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ype":"pictureContentControl","id":"ebfb5f66-c6d5-4147-b85f-f4ac7de874b6","elementConfiguration":{"inheritDimensions":"inheritHeight","binding":"Form.DocLang.Logo_stacked_colour","removeAndKeepContent":false,"disableUpdates":false,"type":"image"}},{"type":"pictureContentControl","id":"aaaaecd6-e632-44c7-8297-b24f27a9a15c","elementConfiguration":{"inheritDimensions":"inheritHeight","binding":"Form.DocLang.Logo_horizontal","removeAndKeepContent":false,"disableUpdates":false,"type":"image"}},{"type":"pictureContentControl","id":"7c7a3819-4a84-4145-8f5d-0268b9a8c042","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2.xml><?xml version="1.0" encoding="utf-8"?>
<ct:contentTypeSchema xmlns:ct="http://schemas.microsoft.com/office/2006/metadata/contentType" xmlns:ma="http://schemas.microsoft.com/office/2006/metadata/properties/metaAttributes" ct:_="" ma:_="" ma:contentTypeName="Document" ma:contentTypeID="0x010100AE7BB0401969534BB561823CB4051602" ma:contentTypeVersion="12" ma:contentTypeDescription="Create a new document." ma:contentTypeScope="" ma:versionID="41de42d998f1f4c97c4f74016ae5dc26">
  <xsd:schema xmlns:xsd="http://www.w3.org/2001/XMLSchema" xmlns:xs="http://www.w3.org/2001/XMLSchema" xmlns:p="http://schemas.microsoft.com/office/2006/metadata/properties" xmlns:ns2="19cddd4c-dfb4-40f1-8fe7-77b6b002eace" xmlns:ns3="1f36b386-9306-4f53-ac12-250fc8c7f5e3" targetNamespace="http://schemas.microsoft.com/office/2006/metadata/properties" ma:root="true" ma:fieldsID="b3fffe706c43cf45e33465d45a140882" ns2:_="" ns3:_="">
    <xsd:import namespace="19cddd4c-dfb4-40f1-8fe7-77b6b002eace"/>
    <xsd:import namespace="1f36b386-9306-4f53-ac12-250fc8c7f5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ddd4c-dfb4-40f1-8fe7-77b6b002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6b386-9306-4f53-ac12-250fc8c7f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AE4FFB-B547-437A-A56E-613A8F346671}">
  <ds:schemaRefs/>
</ds:datastoreItem>
</file>

<file path=customXml/itemProps2.xml><?xml version="1.0" encoding="utf-8"?>
<ds:datastoreItem xmlns:ds="http://schemas.openxmlformats.org/officeDocument/2006/customXml" ds:itemID="{5CCD9A26-53C7-4E9B-83B7-EE50DE0F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ddd4c-dfb4-40f1-8fe7-77b6b002eace"/>
    <ds:schemaRef ds:uri="1f36b386-9306-4f53-ac12-250fc8c7f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D8980-C987-48AF-BFD7-20D6444F7008}">
  <ds:schemaRefs/>
</ds:datastoreItem>
</file>

<file path=customXml/itemProps4.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5.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6.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74</TotalTime>
  <Pages>2</Pages>
  <Words>760</Words>
  <Characters>4332</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2022-05-05T07:02:00Z</dcterms:created>
  <dcterms:modified xsi:type="dcterms:W3CDTF">2024-10-23T12:30:00Z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0x010100AE7BB0401969534BB561823CB4051602</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636916863626938073</vt:lpwstr>
  </property>
  <property fmtid="{D5CDD505-2E9C-101B-9397-08002B2CF9AE}" pid="8" name="TemplafyLanguageCode">
    <vt:lpwstr>en-US</vt:lpwstr>
  </property>
  <property fmtid="{D5CDD505-2E9C-101B-9397-08002B2CF9AE}" pid="9" name="Language">
    <vt:lpwstr>en-US</vt:lpwstr>
  </property>
</Properties>
</file>