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FF25" w14:textId="713E11B6" w:rsidR="0047458B" w:rsidRPr="000F548B" w:rsidRDefault="00744576" w:rsidP="0019703C">
      <w:pPr>
        <w:rPr>
          <w:rFonts w:ascii="Arial" w:eastAsia="Times New Roman" w:hAnsi="Arial" w:cs="Arial"/>
          <w:i/>
          <w:iCs/>
          <w:lang w:val="pt"/>
        </w:rPr>
      </w:pPr>
      <w:bookmarkStart w:id="0" w:name="_Hlk15982172"/>
      <w:r w:rsidRPr="00744576">
        <w:rPr>
          <w:rFonts w:ascii="Arial" w:eastAsia="Times New Roman" w:hAnsi="Arial" w:cs="Arial"/>
          <w:i/>
          <w:iCs/>
          <w:lang w:val="pt"/>
        </w:rPr>
        <w:t>Este modelo de carta é disponibilizado aos países para que considerem usá-lo quando expressarem os seus compromissos de cofinanciamento com o Fundo Global. Cada país deverá fazer-lhe as adaptações necessárias ao seu contexto particular. Contudo, o Fundo Global exige que se incluam as informações das secções 1.1 e 1.2. Além disso, os países devem estar em condições de fornecer ao Fundo Global documentos e evidências verificáveis e fiáveis sobre as despesas dos fundos nacionais ou, caso os montantes das despesas não estejam ainda disponíveis, os últimos montantes orçamentados.</w:t>
      </w:r>
    </w:p>
    <w:p w14:paraId="74120212" w14:textId="77777777" w:rsidR="000F548B" w:rsidRDefault="000F548B" w:rsidP="0019703C">
      <w:pPr>
        <w:rPr>
          <w:rFonts w:ascii="Arial" w:eastAsia="Times New Roman" w:hAnsi="Arial" w:cs="Arial"/>
          <w:b/>
          <w:bCs/>
          <w:lang w:val="pt"/>
        </w:rPr>
      </w:pPr>
    </w:p>
    <w:p w14:paraId="0423202B" w14:textId="7B5BC25A" w:rsidR="00333D33" w:rsidRPr="002724D9" w:rsidRDefault="00657239" w:rsidP="0019703C">
      <w:pPr>
        <w:rPr>
          <w:rFonts w:ascii="Arial" w:eastAsia="Times New Roman" w:hAnsi="Arial" w:cs="Arial"/>
          <w:b/>
          <w:lang w:val="pt-BR"/>
        </w:rPr>
      </w:pPr>
      <w:r>
        <w:rPr>
          <w:rFonts w:ascii="Arial" w:eastAsia="Times New Roman" w:hAnsi="Arial" w:cs="Arial"/>
          <w:b/>
          <w:bCs/>
          <w:lang w:val="pt"/>
        </w:rPr>
        <w:t>Modelo: Compromisso do Governo de Cofinanciamento das Respostas Nacionais Apoiadas pelo Fundo Global</w:t>
      </w:r>
    </w:p>
    <w:p w14:paraId="0423202C" w14:textId="77777777" w:rsidR="009308B2" w:rsidRPr="002724D9" w:rsidRDefault="009308B2" w:rsidP="00A371C5">
      <w:pPr>
        <w:rPr>
          <w:rFonts w:ascii="Arial" w:eastAsia="Times New Roman" w:hAnsi="Arial" w:cs="Arial"/>
          <w:lang w:val="pt-BR"/>
        </w:rPr>
      </w:pPr>
    </w:p>
    <w:p w14:paraId="0423202D" w14:textId="77777777" w:rsidR="00D66E03" w:rsidRPr="002724D9" w:rsidRDefault="00D66E03" w:rsidP="00D66E03">
      <w:pPr>
        <w:rPr>
          <w:rFonts w:ascii="Arial" w:eastAsia="Times New Roman" w:hAnsi="Arial" w:cs="Arial"/>
          <w:lang w:val="pt-BR"/>
        </w:rPr>
      </w:pPr>
      <w:r>
        <w:rPr>
          <w:rFonts w:ascii="Arial" w:eastAsia="Times New Roman" w:hAnsi="Arial" w:cs="Arial"/>
          <w:lang w:val="pt"/>
        </w:rPr>
        <w:t>Fundo Global de Luta contra a SIDA, a Tuberculose e a Malária</w:t>
      </w:r>
    </w:p>
    <w:p w14:paraId="0423202E" w14:textId="77777777" w:rsidR="00D66E03" w:rsidRPr="00B67AC5" w:rsidRDefault="00D66E03" w:rsidP="00D66E03">
      <w:pPr>
        <w:rPr>
          <w:rFonts w:ascii="Arial" w:eastAsia="Times New Roman" w:hAnsi="Arial" w:cs="Arial"/>
        </w:rPr>
      </w:pPr>
      <w:r w:rsidRPr="00B67AC5">
        <w:rPr>
          <w:rFonts w:ascii="Arial" w:eastAsia="Times New Roman" w:hAnsi="Arial" w:cs="Arial"/>
        </w:rPr>
        <w:t>Global Health Campus</w:t>
      </w:r>
    </w:p>
    <w:p w14:paraId="0423202F" w14:textId="77777777" w:rsidR="00D66E03" w:rsidRPr="00B67AC5" w:rsidRDefault="00D66E03" w:rsidP="00D66E03">
      <w:pPr>
        <w:rPr>
          <w:rFonts w:ascii="Arial" w:eastAsia="Times New Roman" w:hAnsi="Arial" w:cs="Arial"/>
        </w:rPr>
      </w:pPr>
      <w:r w:rsidRPr="00B67AC5">
        <w:rPr>
          <w:rFonts w:ascii="Arial" w:eastAsia="Times New Roman" w:hAnsi="Arial" w:cs="Arial"/>
        </w:rPr>
        <w:t>Chemin du Pommier 40</w:t>
      </w:r>
    </w:p>
    <w:p w14:paraId="04232030" w14:textId="77777777" w:rsidR="00D66E03" w:rsidRPr="002724D9" w:rsidRDefault="00D66E03" w:rsidP="00D66E03">
      <w:pPr>
        <w:rPr>
          <w:rFonts w:ascii="Arial" w:eastAsia="Times New Roman" w:hAnsi="Arial" w:cs="Arial"/>
          <w:lang w:val="pt-BR"/>
        </w:rPr>
      </w:pPr>
      <w:r>
        <w:rPr>
          <w:rFonts w:ascii="Arial" w:eastAsia="Times New Roman" w:hAnsi="Arial" w:cs="Arial"/>
          <w:lang w:val="pt"/>
        </w:rPr>
        <w:t>1218 Grand-Saconnex</w:t>
      </w:r>
    </w:p>
    <w:p w14:paraId="04232031" w14:textId="77777777" w:rsidR="009308B2" w:rsidRPr="002724D9" w:rsidRDefault="00D66E03" w:rsidP="00D66E03">
      <w:pPr>
        <w:rPr>
          <w:rFonts w:ascii="Arial" w:eastAsia="Times New Roman" w:hAnsi="Arial" w:cs="Arial"/>
          <w:lang w:val="pt-BR"/>
        </w:rPr>
      </w:pPr>
      <w:r>
        <w:rPr>
          <w:rFonts w:ascii="Arial" w:eastAsia="Times New Roman" w:hAnsi="Arial" w:cs="Arial"/>
          <w:lang w:val="pt"/>
        </w:rPr>
        <w:t>Genebra, Suíça</w:t>
      </w:r>
    </w:p>
    <w:p w14:paraId="04232032" w14:textId="77777777" w:rsidR="00D66E03" w:rsidRPr="002724D9" w:rsidRDefault="00D66E03" w:rsidP="00D66E03">
      <w:pPr>
        <w:rPr>
          <w:rFonts w:ascii="Arial" w:eastAsia="Times New Roman" w:hAnsi="Arial" w:cs="Arial"/>
          <w:lang w:val="pt-BR"/>
        </w:rPr>
      </w:pPr>
    </w:p>
    <w:p w14:paraId="04232033" w14:textId="77777777" w:rsidR="009308B2" w:rsidRPr="002724D9" w:rsidRDefault="009308B2" w:rsidP="00A371C5">
      <w:pPr>
        <w:rPr>
          <w:rFonts w:ascii="Arial" w:eastAsia="Times New Roman" w:hAnsi="Arial" w:cs="Arial"/>
          <w:lang w:val="pt-BR"/>
        </w:rPr>
      </w:pPr>
      <w:r>
        <w:rPr>
          <w:rFonts w:ascii="Arial" w:eastAsia="Times New Roman" w:hAnsi="Arial" w:cs="Arial"/>
          <w:highlight w:val="yellow"/>
          <w:lang w:val="pt"/>
        </w:rPr>
        <w:t>[data]</w:t>
      </w:r>
    </w:p>
    <w:p w14:paraId="04232034" w14:textId="77777777" w:rsidR="00333D33" w:rsidRPr="002724D9" w:rsidRDefault="00333D33" w:rsidP="00333D33">
      <w:pPr>
        <w:spacing w:line="242" w:lineRule="atLeast"/>
        <w:rPr>
          <w:rFonts w:ascii="Arial" w:eastAsia="Times New Roman" w:hAnsi="Arial" w:cs="Arial"/>
          <w:lang w:val="pt-BR"/>
        </w:rPr>
      </w:pPr>
    </w:p>
    <w:p w14:paraId="04232035" w14:textId="77777777" w:rsidR="0016277D" w:rsidRPr="002724D9" w:rsidRDefault="0016277D" w:rsidP="00333D33">
      <w:pPr>
        <w:spacing w:line="242" w:lineRule="atLeast"/>
        <w:rPr>
          <w:rFonts w:ascii="Arial" w:eastAsia="Times New Roman" w:hAnsi="Arial" w:cs="Arial"/>
          <w:lang w:val="pt-BR"/>
        </w:rPr>
      </w:pPr>
      <w:r>
        <w:rPr>
          <w:rFonts w:ascii="Arial" w:eastAsia="Times New Roman" w:hAnsi="Arial" w:cs="Arial"/>
          <w:lang w:val="pt"/>
        </w:rPr>
        <w:t xml:space="preserve">Estimado </w:t>
      </w:r>
      <w:r>
        <w:rPr>
          <w:rFonts w:ascii="Arial" w:eastAsia="Times New Roman" w:hAnsi="Arial" w:cs="Arial"/>
          <w:highlight w:val="yellow"/>
          <w:lang w:val="pt"/>
        </w:rPr>
        <w:t>[representante do Fundo Global]</w:t>
      </w:r>
      <w:r>
        <w:rPr>
          <w:lang w:val="pt"/>
        </w:rPr>
        <w:t>,</w:t>
      </w:r>
    </w:p>
    <w:p w14:paraId="04232036" w14:textId="77777777" w:rsidR="0016277D" w:rsidRPr="002724D9" w:rsidRDefault="0016277D" w:rsidP="00333D33">
      <w:pPr>
        <w:spacing w:line="242" w:lineRule="atLeast"/>
        <w:rPr>
          <w:rFonts w:ascii="Arial" w:eastAsia="Times New Roman" w:hAnsi="Arial" w:cs="Arial"/>
          <w:lang w:val="pt-BR"/>
        </w:rPr>
      </w:pPr>
    </w:p>
    <w:p w14:paraId="04232037" w14:textId="77777777" w:rsidR="002F04C4" w:rsidRPr="002724D9" w:rsidRDefault="0075553E" w:rsidP="00BF3CC3">
      <w:pPr>
        <w:rPr>
          <w:rFonts w:ascii="Arial" w:eastAsia="Times New Roman" w:hAnsi="Arial" w:cs="Arial"/>
          <w:lang w:val="pt-BR"/>
        </w:rPr>
      </w:pPr>
      <w:r>
        <w:rPr>
          <w:rFonts w:ascii="Arial" w:eastAsia="Times New Roman" w:hAnsi="Arial" w:cs="Arial"/>
          <w:lang w:val="pt"/>
        </w:rPr>
        <w:t xml:space="preserve">Esta carta estabelece os nossos compromissos de cofinanciamento para o período de atribuição 2023-2025 do Fundo Global, o qual deverá cobrir para </w:t>
      </w:r>
      <w:r>
        <w:rPr>
          <w:rFonts w:ascii="Arial" w:eastAsia="Times New Roman" w:hAnsi="Arial" w:cs="Arial"/>
          <w:highlight w:val="yellow"/>
          <w:lang w:val="pt"/>
        </w:rPr>
        <w:t>[país]</w:t>
      </w:r>
      <w:r>
        <w:rPr>
          <w:rFonts w:ascii="Arial" w:eastAsia="Times New Roman" w:hAnsi="Arial" w:cs="Arial"/>
          <w:lang w:val="pt"/>
        </w:rPr>
        <w:t xml:space="preserve"> o período </w:t>
      </w:r>
      <w:r>
        <w:rPr>
          <w:rFonts w:ascii="Arial" w:eastAsia="Times New Roman" w:hAnsi="Arial" w:cs="Arial"/>
          <w:highlight w:val="yellow"/>
          <w:lang w:val="pt"/>
        </w:rPr>
        <w:t>[incluir o período de utilização da atribuição correspondente ao país]</w:t>
      </w:r>
      <w:r>
        <w:rPr>
          <w:rFonts w:ascii="Arial" w:eastAsia="Times New Roman" w:hAnsi="Arial" w:cs="Arial"/>
          <w:lang w:val="pt"/>
        </w:rPr>
        <w:t xml:space="preserve"> (inclusive).</w:t>
      </w:r>
    </w:p>
    <w:p w14:paraId="04232038" w14:textId="77777777" w:rsidR="0012244F" w:rsidRPr="002724D9" w:rsidRDefault="0012244F" w:rsidP="00BF3CC3">
      <w:pPr>
        <w:rPr>
          <w:rFonts w:ascii="Arial" w:eastAsia="Times New Roman" w:hAnsi="Arial" w:cs="Arial"/>
          <w:lang w:val="pt-BR"/>
        </w:rPr>
      </w:pPr>
    </w:p>
    <w:p w14:paraId="04232039" w14:textId="77777777" w:rsidR="000F1BF7" w:rsidRPr="002724D9" w:rsidRDefault="0012244F" w:rsidP="7296D1AD">
      <w:pPr>
        <w:rPr>
          <w:rFonts w:ascii="Arial" w:eastAsia="Times New Roman" w:hAnsi="Arial" w:cs="Arial"/>
          <w:lang w:val="pt-BR"/>
        </w:rPr>
      </w:pPr>
      <w:r>
        <w:rPr>
          <w:rFonts w:ascii="Arial" w:eastAsia="Times New Roman" w:hAnsi="Arial" w:cs="Arial"/>
          <w:lang w:val="pt"/>
        </w:rPr>
        <w:t>Assumimos estes compromissos de cofinanciamento, dado compreendermos a importância de conceder um financiamento interno sólido e crescente às nossas respostas nacionais ao VIH, à tuberculose (TB) e à malária, bem como aos sistemas de saúde resilientes e sustentáveis. Os compromissos de cofinanciamento apresentados nesta carta refletem igualmente a nossa situação macroeconómica e fiscal global e assentam na nossa avaliação cuidada do nível de mobilização de recursos internos que podemos alcançar de forma sustentável, enquanto consideramos outras prioridades sanitárias, sociais e económicas para o nosso país.</w:t>
      </w:r>
    </w:p>
    <w:p w14:paraId="0423203A" w14:textId="426AF009" w:rsidR="00050560" w:rsidRPr="002724D9" w:rsidRDefault="00050560" w:rsidP="00333D33">
      <w:pPr>
        <w:pStyle w:val="ListParagraph"/>
        <w:numPr>
          <w:ilvl w:val="0"/>
          <w:numId w:val="10"/>
        </w:numPr>
        <w:spacing w:line="242" w:lineRule="atLeast"/>
        <w:rPr>
          <w:rFonts w:ascii="Arial" w:hAnsi="Arial" w:cs="Arial"/>
          <w:b/>
          <w:bCs/>
          <w:lang w:val="pt-BR"/>
        </w:rPr>
      </w:pPr>
      <w:r>
        <w:rPr>
          <w:rFonts w:ascii="Arial" w:hAnsi="Arial" w:cs="Arial"/>
          <w:b/>
          <w:bCs/>
          <w:lang w:val="pt"/>
        </w:rPr>
        <w:t>Cofinanciamento no período de atribuição 2023-2025</w:t>
      </w:r>
    </w:p>
    <w:p w14:paraId="0423203B" w14:textId="77777777" w:rsidR="000250C5" w:rsidRPr="002724D9" w:rsidRDefault="00A406A4" w:rsidP="00E043EE">
      <w:pPr>
        <w:spacing w:line="242" w:lineRule="atLeast"/>
        <w:rPr>
          <w:rFonts w:ascii="Arial" w:hAnsi="Arial" w:cs="Arial"/>
          <w:lang w:val="pt-BR"/>
        </w:rPr>
      </w:pPr>
      <w:r>
        <w:rPr>
          <w:rFonts w:ascii="Arial" w:hAnsi="Arial" w:cs="Arial"/>
          <w:b/>
          <w:bCs/>
          <w:i/>
          <w:iCs/>
          <w:lang w:val="pt"/>
        </w:rPr>
        <w:t>1.1. Compromissos globais com despesas de saúde.</w:t>
      </w:r>
      <w:r>
        <w:rPr>
          <w:rFonts w:ascii="Arial" w:hAnsi="Arial" w:cs="Arial"/>
          <w:i/>
          <w:iCs/>
          <w:lang w:val="pt"/>
        </w:rPr>
        <w:t xml:space="preserve"> </w:t>
      </w:r>
      <w:r>
        <w:rPr>
          <w:rFonts w:ascii="Arial" w:hAnsi="Arial" w:cs="Arial"/>
          <w:lang w:val="pt"/>
        </w:rPr>
        <w:t xml:space="preserve">Durante o período de atribuição 2023-2025, pretendemos </w:t>
      </w:r>
      <w:r>
        <w:rPr>
          <w:rFonts w:ascii="Arial" w:hAnsi="Arial" w:cs="Arial"/>
          <w:highlight w:val="yellow"/>
          <w:lang w:val="pt"/>
        </w:rPr>
        <w:t>[como se mostra nos documentos orçamentais anexos]</w:t>
      </w:r>
      <w:r>
        <w:rPr>
          <w:rFonts w:ascii="Arial" w:hAnsi="Arial" w:cs="Arial"/>
          <w:lang w:val="pt"/>
        </w:rPr>
        <w:t xml:space="preserve"> aumentar o Orçamento de Estado para a Saúde de </w:t>
      </w:r>
      <w:r>
        <w:rPr>
          <w:rFonts w:ascii="Arial" w:hAnsi="Arial" w:cs="Arial"/>
          <w:highlight w:val="yellow"/>
          <w:lang w:val="pt"/>
        </w:rPr>
        <w:t>XX (USD/€)</w:t>
      </w:r>
      <w:r>
        <w:rPr>
          <w:rFonts w:ascii="Arial" w:hAnsi="Arial" w:cs="Arial"/>
          <w:lang w:val="pt"/>
        </w:rPr>
        <w:t xml:space="preserve"> em </w:t>
      </w:r>
      <w:r>
        <w:rPr>
          <w:rFonts w:ascii="Arial" w:hAnsi="Arial" w:cs="Arial"/>
          <w:highlight w:val="yellow"/>
          <w:lang w:val="pt"/>
        </w:rPr>
        <w:t>[2023]</w:t>
      </w:r>
      <w:r>
        <w:rPr>
          <w:rFonts w:ascii="Arial" w:hAnsi="Arial" w:cs="Arial"/>
          <w:lang w:val="pt"/>
        </w:rPr>
        <w:t xml:space="preserve"> para </w:t>
      </w:r>
      <w:r>
        <w:rPr>
          <w:rFonts w:ascii="Arial" w:hAnsi="Arial" w:cs="Arial"/>
          <w:highlight w:val="yellow"/>
          <w:lang w:val="pt"/>
        </w:rPr>
        <w:t>YY (USD/€)</w:t>
      </w:r>
      <w:r>
        <w:rPr>
          <w:rFonts w:ascii="Arial" w:hAnsi="Arial" w:cs="Arial"/>
          <w:lang w:val="pt"/>
        </w:rPr>
        <w:t xml:space="preserve"> até </w:t>
      </w:r>
      <w:r>
        <w:rPr>
          <w:rFonts w:ascii="Arial" w:hAnsi="Arial" w:cs="Arial"/>
          <w:highlight w:val="yellow"/>
          <w:lang w:val="pt"/>
        </w:rPr>
        <w:t>[2026]</w:t>
      </w:r>
      <w:r>
        <w:rPr>
          <w:rFonts w:ascii="Arial" w:hAnsi="Arial" w:cs="Arial"/>
          <w:lang w:val="pt"/>
        </w:rPr>
        <w:t xml:space="preserve">, correspondendo a uma taxa de aumento de </w:t>
      </w:r>
      <w:r>
        <w:rPr>
          <w:rFonts w:ascii="Arial" w:hAnsi="Arial" w:cs="Arial"/>
          <w:highlight w:val="yellow"/>
          <w:lang w:val="pt"/>
        </w:rPr>
        <w:t>ZZ%</w:t>
      </w:r>
      <w:r>
        <w:rPr>
          <w:rFonts w:ascii="Arial" w:hAnsi="Arial" w:cs="Arial"/>
          <w:lang w:val="pt"/>
        </w:rPr>
        <w:t xml:space="preserve">. Esperamos que a saúde represente </w:t>
      </w:r>
      <w:r>
        <w:rPr>
          <w:rFonts w:ascii="Arial" w:hAnsi="Arial" w:cs="Arial"/>
          <w:highlight w:val="yellow"/>
          <w:lang w:val="pt"/>
        </w:rPr>
        <w:t>AA %</w:t>
      </w:r>
      <w:r>
        <w:rPr>
          <w:rFonts w:ascii="Arial" w:hAnsi="Arial" w:cs="Arial"/>
          <w:lang w:val="pt"/>
        </w:rPr>
        <w:t xml:space="preserve"> da totalidade da despesa pública em </w:t>
      </w:r>
      <w:r>
        <w:rPr>
          <w:rFonts w:ascii="Arial" w:hAnsi="Arial" w:cs="Arial"/>
          <w:highlight w:val="yellow"/>
          <w:lang w:val="pt"/>
        </w:rPr>
        <w:t>[2023]</w:t>
      </w:r>
      <w:r>
        <w:rPr>
          <w:rFonts w:ascii="Arial" w:hAnsi="Arial" w:cs="Arial"/>
          <w:lang w:val="pt"/>
        </w:rPr>
        <w:t xml:space="preserve"> e </w:t>
      </w:r>
      <w:r>
        <w:rPr>
          <w:rFonts w:ascii="Arial" w:hAnsi="Arial" w:cs="Arial"/>
          <w:highlight w:val="yellow"/>
          <w:lang w:val="pt"/>
        </w:rPr>
        <w:t>BB %</w:t>
      </w:r>
      <w:r>
        <w:rPr>
          <w:rFonts w:ascii="Arial" w:hAnsi="Arial" w:cs="Arial"/>
          <w:lang w:val="pt"/>
        </w:rPr>
        <w:t xml:space="preserve"> até </w:t>
      </w:r>
      <w:r>
        <w:rPr>
          <w:rFonts w:ascii="Arial" w:hAnsi="Arial" w:cs="Arial"/>
          <w:highlight w:val="yellow"/>
          <w:lang w:val="pt"/>
        </w:rPr>
        <w:t>[2026]</w:t>
      </w:r>
      <w:r>
        <w:rPr>
          <w:rFonts w:ascii="Arial" w:hAnsi="Arial" w:cs="Arial"/>
          <w:lang w:val="pt"/>
        </w:rPr>
        <w:t>. Compreendemos a importância de atribuir uma forte percentagem das nossas despesas públicas ao setor da saúde e de criar uma base sólida que sustente as nossas contribuições internas para as respostas nacionais ao VIH, à TB e à malária, bem como para os sistemas de saúde resilientes e sustentáveis.</w:t>
      </w:r>
    </w:p>
    <w:p w14:paraId="0423203C" w14:textId="77777777" w:rsidR="00546943" w:rsidRPr="002724D9" w:rsidRDefault="00546943" w:rsidP="00333D33">
      <w:pPr>
        <w:spacing w:line="242" w:lineRule="atLeast"/>
        <w:rPr>
          <w:rFonts w:ascii="Arial" w:eastAsia="Times New Roman" w:hAnsi="Arial" w:cs="Arial"/>
          <w:b/>
          <w:bCs/>
          <w:lang w:val="pt-BR"/>
        </w:rPr>
      </w:pPr>
    </w:p>
    <w:p w14:paraId="0423203D" w14:textId="77777777" w:rsidR="005249E6" w:rsidRPr="002724D9" w:rsidRDefault="00A406A4" w:rsidP="00333D33">
      <w:pPr>
        <w:spacing w:line="242" w:lineRule="atLeast"/>
        <w:rPr>
          <w:rFonts w:ascii="Arial" w:eastAsia="Times New Roman" w:hAnsi="Arial" w:cs="Arial"/>
          <w:lang w:val="pt-BR"/>
        </w:rPr>
      </w:pPr>
      <w:r>
        <w:rPr>
          <w:rFonts w:ascii="Arial" w:eastAsia="Times New Roman" w:hAnsi="Arial" w:cs="Arial"/>
          <w:b/>
          <w:bCs/>
          <w:i/>
          <w:iCs/>
          <w:lang w:val="pt"/>
        </w:rPr>
        <w:t>1.2. Compromissos no âmbito do VIH, da TB, da malária e dos sistemas de saúde resilientes e sustentáveis.</w:t>
      </w:r>
      <w:r>
        <w:rPr>
          <w:rFonts w:ascii="Arial" w:eastAsia="Times New Roman" w:hAnsi="Arial" w:cs="Arial"/>
          <w:lang w:val="pt"/>
        </w:rPr>
        <w:t xml:space="preserve"> De acordo com a carta de atribuição do Fundo Global de </w:t>
      </w:r>
      <w:r>
        <w:rPr>
          <w:rFonts w:ascii="Arial" w:eastAsia="Times New Roman" w:hAnsi="Arial" w:cs="Arial"/>
          <w:highlight w:val="yellow"/>
          <w:lang w:val="pt"/>
        </w:rPr>
        <w:t>AA</w:t>
      </w:r>
      <w:r>
        <w:rPr>
          <w:rFonts w:ascii="Arial" w:eastAsia="Times New Roman" w:hAnsi="Arial" w:cs="Arial"/>
          <w:lang w:val="pt"/>
        </w:rPr>
        <w:t xml:space="preserve">, entendemos que </w:t>
      </w:r>
      <w:r>
        <w:rPr>
          <w:rFonts w:ascii="Arial" w:eastAsia="Times New Roman" w:hAnsi="Arial" w:cs="Arial"/>
          <w:highlight w:val="yellow"/>
          <w:lang w:val="pt"/>
        </w:rPr>
        <w:t>X %</w:t>
      </w:r>
      <w:r>
        <w:rPr>
          <w:rFonts w:ascii="Arial" w:eastAsia="Times New Roman" w:hAnsi="Arial" w:cs="Arial"/>
          <w:lang w:val="pt"/>
        </w:rPr>
        <w:t xml:space="preserve"> da atribuição total a </w:t>
      </w:r>
      <w:r>
        <w:rPr>
          <w:rFonts w:ascii="Arial" w:eastAsia="Times New Roman" w:hAnsi="Arial" w:cs="Arial"/>
          <w:highlight w:val="yellow"/>
          <w:lang w:val="pt"/>
        </w:rPr>
        <w:t>[país]</w:t>
      </w:r>
      <w:r>
        <w:rPr>
          <w:rFonts w:ascii="Arial" w:eastAsia="Times New Roman" w:hAnsi="Arial" w:cs="Arial"/>
          <w:lang w:val="pt"/>
        </w:rPr>
        <w:t xml:space="preserve"> no valor de </w:t>
      </w:r>
      <w:r>
        <w:rPr>
          <w:rFonts w:ascii="Arial" w:eastAsia="Times New Roman" w:hAnsi="Arial" w:cs="Arial"/>
          <w:highlight w:val="yellow"/>
          <w:lang w:val="pt"/>
        </w:rPr>
        <w:t>[atribuição total em USD/€]</w:t>
      </w:r>
      <w:r>
        <w:rPr>
          <w:rFonts w:ascii="Arial" w:eastAsia="Times New Roman" w:hAnsi="Arial" w:cs="Arial"/>
          <w:lang w:val="pt"/>
        </w:rPr>
        <w:t xml:space="preserve"> só estará acessível quando </w:t>
      </w:r>
      <w:r>
        <w:rPr>
          <w:rFonts w:ascii="Arial" w:eastAsia="Times New Roman" w:hAnsi="Arial" w:cs="Arial"/>
          <w:highlight w:val="yellow"/>
          <w:lang w:val="pt"/>
        </w:rPr>
        <w:t>[país]</w:t>
      </w:r>
      <w:r>
        <w:rPr>
          <w:rFonts w:ascii="Arial" w:eastAsia="Times New Roman" w:hAnsi="Arial" w:cs="Arial"/>
          <w:lang w:val="pt"/>
        </w:rPr>
        <w:t xml:space="preserve"> assumir e concretizar um compromisso financeiro interno completo com o VIH, a TB, a malária e os sistemas de saúde resilientes e sustentáveis durante o período de atribuição de 2023-2025 que seja igual ou superior a </w:t>
      </w:r>
      <w:r>
        <w:rPr>
          <w:rFonts w:ascii="Arial" w:eastAsia="Times New Roman" w:hAnsi="Arial" w:cs="Arial"/>
          <w:highlight w:val="yellow"/>
          <w:lang w:val="pt"/>
        </w:rPr>
        <w:t>[compromisso esperado em USD/€]</w:t>
      </w:r>
      <w:r>
        <w:rPr>
          <w:rFonts w:ascii="Arial" w:eastAsia="Times New Roman" w:hAnsi="Arial" w:cs="Arial"/>
          <w:lang w:val="pt"/>
        </w:rPr>
        <w:t xml:space="preserve">. </w:t>
      </w:r>
    </w:p>
    <w:p w14:paraId="0423203E" w14:textId="77777777" w:rsidR="001A1529" w:rsidRPr="002724D9" w:rsidRDefault="001A1529" w:rsidP="00333D33">
      <w:pPr>
        <w:spacing w:line="242" w:lineRule="atLeast"/>
        <w:rPr>
          <w:rFonts w:ascii="Arial" w:eastAsia="Times New Roman" w:hAnsi="Arial" w:cs="Arial"/>
          <w:lang w:val="pt-BR"/>
        </w:rPr>
      </w:pPr>
    </w:p>
    <w:p w14:paraId="0423203F" w14:textId="77777777" w:rsidR="00494E54" w:rsidRPr="002724D9" w:rsidRDefault="005249E6" w:rsidP="00494E54">
      <w:pPr>
        <w:spacing w:line="242" w:lineRule="atLeast"/>
        <w:rPr>
          <w:rFonts w:ascii="Arial" w:hAnsi="Arial" w:cs="Arial"/>
          <w:b/>
          <w:bCs/>
          <w:lang w:val="pt-BR"/>
        </w:rPr>
      </w:pPr>
      <w:r>
        <w:rPr>
          <w:rFonts w:ascii="Arial" w:eastAsia="Times New Roman" w:hAnsi="Arial" w:cs="Arial"/>
          <w:lang w:val="pt"/>
        </w:rPr>
        <w:t xml:space="preserve">Comprometemo-nos a realizar a totalidade das necessidades de financiamento interno no valor de </w:t>
      </w:r>
      <w:r>
        <w:rPr>
          <w:rFonts w:ascii="Arial" w:eastAsia="Times New Roman" w:hAnsi="Arial" w:cs="Arial"/>
          <w:highlight w:val="yellow"/>
          <w:lang w:val="pt"/>
        </w:rPr>
        <w:t>[USD/€]</w:t>
      </w:r>
      <w:r>
        <w:rPr>
          <w:rFonts w:ascii="Arial" w:eastAsia="Times New Roman" w:hAnsi="Arial" w:cs="Arial"/>
          <w:lang w:val="pt"/>
        </w:rPr>
        <w:t xml:space="preserve"> durante o período de atribuição 2023-2025. Os nossos compromissos com cada uma das </w:t>
      </w:r>
      <w:r>
        <w:rPr>
          <w:rFonts w:ascii="Arial" w:eastAsia="Times New Roman" w:hAnsi="Arial" w:cs="Arial"/>
          <w:lang w:val="pt"/>
        </w:rPr>
        <w:lastRenderedPageBreak/>
        <w:t>doenças e os sistemas de saúde resilientes e sustentáveis (SSRS) são explicitados na tabela seguinte.</w:t>
      </w:r>
    </w:p>
    <w:p w14:paraId="04232040" w14:textId="77777777" w:rsidR="00494E54" w:rsidRPr="002724D9" w:rsidRDefault="00494E54" w:rsidP="00494E54">
      <w:pPr>
        <w:spacing w:line="242" w:lineRule="atLeast"/>
        <w:rPr>
          <w:rFonts w:ascii="Arial" w:hAnsi="Arial" w:cs="Arial"/>
          <w:b/>
          <w:bCs/>
          <w:lang w:val="pt-BR"/>
        </w:rPr>
      </w:pPr>
    </w:p>
    <w:p w14:paraId="04232041" w14:textId="77777777" w:rsidR="67455422" w:rsidRPr="002724D9" w:rsidRDefault="67455422" w:rsidP="00494E54">
      <w:pPr>
        <w:spacing w:line="242" w:lineRule="atLeast"/>
        <w:rPr>
          <w:rFonts w:ascii="Arial" w:eastAsia="Times New Roman" w:hAnsi="Arial" w:cs="Arial"/>
          <w:lang w:val="pt-BR"/>
        </w:rPr>
      </w:pPr>
      <w:r>
        <w:rPr>
          <w:rFonts w:ascii="Arial" w:hAnsi="Arial" w:cs="Arial"/>
          <w:b/>
          <w:bCs/>
          <w:lang w:val="pt"/>
        </w:rPr>
        <w:t>Compromissos de cofinanciamento para o período de atribuição de 2023-2025</w:t>
      </w:r>
    </w:p>
    <w:p w14:paraId="04232042" w14:textId="77777777" w:rsidR="3E1FCAEC" w:rsidRPr="002724D9" w:rsidRDefault="3E1FCAEC" w:rsidP="3E1FCAEC">
      <w:pPr>
        <w:rPr>
          <w:rFonts w:ascii="Arial" w:eastAsia="Arial" w:hAnsi="Arial" w:cs="Arial"/>
          <w:lang w:val="pt-B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
        <w:gridCol w:w="805"/>
        <w:gridCol w:w="805"/>
        <w:gridCol w:w="805"/>
        <w:gridCol w:w="806"/>
        <w:gridCol w:w="815"/>
        <w:gridCol w:w="815"/>
        <w:gridCol w:w="815"/>
        <w:gridCol w:w="815"/>
        <w:gridCol w:w="1488"/>
        <w:gridCol w:w="1489"/>
      </w:tblGrid>
      <w:tr w:rsidR="00E233CA" w:rsidRPr="00637EEF" w14:paraId="0423204A" w14:textId="77777777" w:rsidTr="00C97F50">
        <w:trPr>
          <w:trHeight w:val="315"/>
        </w:trPr>
        <w:tc>
          <w:tcPr>
            <w:tcW w:w="885" w:type="dxa"/>
            <w:vMerge w:val="restart"/>
            <w:shd w:val="clear" w:color="auto" w:fill="D9E2F3" w:themeFill="accent5" w:themeFillTint="33"/>
            <w:vAlign w:val="center"/>
          </w:tcPr>
          <w:p w14:paraId="04232043" w14:textId="77777777" w:rsidR="00E233CA" w:rsidRPr="002724D9" w:rsidRDefault="00E233CA" w:rsidP="3E1FCAEC">
            <w:pPr>
              <w:rPr>
                <w:rFonts w:ascii="Arial" w:eastAsia="Arial" w:hAnsi="Arial" w:cs="Arial"/>
                <w:b/>
                <w:bCs/>
                <w:sz w:val="18"/>
                <w:szCs w:val="18"/>
                <w:lang w:val="pt-BR"/>
              </w:rPr>
            </w:pPr>
            <w:r>
              <w:rPr>
                <w:rFonts w:ascii="Arial" w:eastAsia="Arial" w:hAnsi="Arial" w:cs="Arial"/>
                <w:b/>
                <w:bCs/>
                <w:sz w:val="18"/>
                <w:szCs w:val="18"/>
                <w:lang w:val="pt"/>
              </w:rPr>
              <w:t xml:space="preserve"> </w:t>
            </w:r>
          </w:p>
          <w:p w14:paraId="04232044" w14:textId="77777777" w:rsidR="00E233CA" w:rsidRPr="002724D9" w:rsidRDefault="00E233CA" w:rsidP="006A4082">
            <w:pPr>
              <w:rPr>
                <w:rFonts w:ascii="Arial" w:eastAsia="Arial" w:hAnsi="Arial" w:cs="Arial"/>
                <w:b/>
                <w:bCs/>
                <w:sz w:val="18"/>
                <w:szCs w:val="18"/>
                <w:lang w:val="pt-BR"/>
              </w:rPr>
            </w:pPr>
            <w:r>
              <w:rPr>
                <w:rFonts w:ascii="Arial" w:eastAsia="Arial" w:hAnsi="Arial" w:cs="Arial"/>
                <w:color w:val="000000" w:themeColor="text1"/>
                <w:sz w:val="18"/>
                <w:szCs w:val="18"/>
                <w:lang w:val="pt"/>
              </w:rPr>
              <w:t xml:space="preserve"> </w:t>
            </w:r>
          </w:p>
        </w:tc>
        <w:tc>
          <w:tcPr>
            <w:tcW w:w="3221" w:type="dxa"/>
            <w:gridSpan w:val="4"/>
            <w:shd w:val="clear" w:color="auto" w:fill="D9E2F3" w:themeFill="accent5" w:themeFillTint="33"/>
            <w:vAlign w:val="center"/>
          </w:tcPr>
          <w:p w14:paraId="04232045" w14:textId="77777777" w:rsidR="00E233CA" w:rsidRPr="002724D9" w:rsidRDefault="00E233CA" w:rsidP="006A4082">
            <w:pPr>
              <w:jc w:val="center"/>
              <w:rPr>
                <w:rFonts w:ascii="Arial" w:eastAsia="Arial" w:hAnsi="Arial" w:cs="Arial"/>
                <w:b/>
                <w:bCs/>
                <w:color w:val="000000" w:themeColor="text1"/>
                <w:sz w:val="18"/>
                <w:szCs w:val="18"/>
                <w:lang w:val="pt-BR"/>
              </w:rPr>
            </w:pPr>
            <w:r>
              <w:rPr>
                <w:rFonts w:ascii="Arial" w:hAnsi="Arial" w:cs="Arial"/>
                <w:b/>
                <w:bCs/>
                <w:color w:val="000000" w:themeColor="text1"/>
                <w:sz w:val="18"/>
                <w:szCs w:val="18"/>
                <w:lang w:val="pt"/>
              </w:rPr>
              <w:t>Período de atribuição de 2020-2022</w:t>
            </w:r>
            <w:r>
              <w:rPr>
                <w:b/>
                <w:bCs/>
                <w:lang w:val="pt"/>
              </w:rPr>
              <w:t xml:space="preserve"> </w:t>
            </w:r>
            <w:r>
              <w:rPr>
                <w:rFonts w:ascii="Arial" w:hAnsi="Arial" w:cs="Arial"/>
                <w:b/>
                <w:bCs/>
                <w:sz w:val="18"/>
                <w:szCs w:val="18"/>
                <w:highlight w:val="yellow"/>
                <w:lang w:val="pt"/>
              </w:rPr>
              <w:t>(USD/€)</w:t>
            </w:r>
          </w:p>
        </w:tc>
        <w:tc>
          <w:tcPr>
            <w:tcW w:w="3260" w:type="dxa"/>
            <w:gridSpan w:val="4"/>
            <w:shd w:val="clear" w:color="auto" w:fill="D9E2F3" w:themeFill="accent5" w:themeFillTint="33"/>
            <w:vAlign w:val="center"/>
          </w:tcPr>
          <w:p w14:paraId="04232046" w14:textId="77777777" w:rsidR="00E233CA" w:rsidRPr="002724D9" w:rsidRDefault="00E233CA" w:rsidP="3E1FCAEC">
            <w:pPr>
              <w:jc w:val="center"/>
              <w:rPr>
                <w:rFonts w:ascii="Arial" w:eastAsia="Arial" w:hAnsi="Arial" w:cs="Arial"/>
                <w:b/>
                <w:bCs/>
                <w:color w:val="000000" w:themeColor="text1"/>
                <w:sz w:val="18"/>
                <w:szCs w:val="18"/>
                <w:lang w:val="pt-BR"/>
              </w:rPr>
            </w:pPr>
            <w:r>
              <w:rPr>
                <w:rFonts w:ascii="Arial" w:hAnsi="Arial" w:cs="Arial"/>
                <w:b/>
                <w:bCs/>
                <w:color w:val="000000" w:themeColor="text1"/>
                <w:sz w:val="18"/>
                <w:szCs w:val="18"/>
                <w:lang w:val="pt"/>
              </w:rPr>
              <w:t>Período de atribuição de 2023-2025</w:t>
            </w:r>
            <w:r>
              <w:rPr>
                <w:b/>
                <w:bCs/>
                <w:lang w:val="pt"/>
              </w:rPr>
              <w:t xml:space="preserve"> </w:t>
            </w:r>
            <w:r>
              <w:rPr>
                <w:rFonts w:ascii="Arial" w:hAnsi="Arial" w:cs="Arial"/>
                <w:b/>
                <w:bCs/>
                <w:sz w:val="18"/>
                <w:szCs w:val="18"/>
                <w:highlight w:val="yellow"/>
                <w:lang w:val="pt"/>
              </w:rPr>
              <w:t>(USD/€)</w:t>
            </w:r>
          </w:p>
        </w:tc>
        <w:tc>
          <w:tcPr>
            <w:tcW w:w="1488" w:type="dxa"/>
            <w:vMerge w:val="restart"/>
            <w:shd w:val="clear" w:color="auto" w:fill="D9E2F3" w:themeFill="accent5" w:themeFillTint="33"/>
            <w:vAlign w:val="center"/>
          </w:tcPr>
          <w:p w14:paraId="04232047" w14:textId="77777777" w:rsidR="00E233CA" w:rsidRPr="002724D9" w:rsidRDefault="00865E8A" w:rsidP="00426EB6">
            <w:pPr>
              <w:jc w:val="center"/>
              <w:rPr>
                <w:rFonts w:ascii="Arial" w:eastAsia="Arial" w:hAnsi="Arial" w:cs="Arial"/>
                <w:b/>
                <w:bCs/>
                <w:color w:val="000000" w:themeColor="text1"/>
                <w:sz w:val="18"/>
                <w:szCs w:val="18"/>
                <w:lang w:val="pt-BR"/>
              </w:rPr>
            </w:pPr>
            <w:r>
              <w:rPr>
                <w:rFonts w:ascii="Arial" w:eastAsia="Arial" w:hAnsi="Arial" w:cs="Arial"/>
                <w:b/>
                <w:bCs/>
                <w:color w:val="000000" w:themeColor="text1"/>
                <w:sz w:val="18"/>
                <w:szCs w:val="18"/>
                <w:lang w:val="pt"/>
              </w:rPr>
              <w:t xml:space="preserve">Montante adicional (diferença nos totais) </w:t>
            </w:r>
          </w:p>
          <w:p w14:paraId="04232048" w14:textId="77777777" w:rsidR="00E233CA" w:rsidRPr="000C2F23" w:rsidRDefault="00E233CA" w:rsidP="00426EB6">
            <w:pPr>
              <w:jc w:val="center"/>
              <w:rPr>
                <w:rFonts w:ascii="Arial" w:eastAsia="Arial" w:hAnsi="Arial" w:cs="Arial"/>
                <w:b/>
                <w:bCs/>
                <w:color w:val="000000" w:themeColor="text1"/>
                <w:sz w:val="18"/>
                <w:szCs w:val="18"/>
              </w:rPr>
            </w:pPr>
            <w:r>
              <w:rPr>
                <w:rFonts w:ascii="Arial" w:eastAsia="Times New Roman" w:hAnsi="Arial" w:cs="Arial"/>
                <w:b/>
                <w:bCs/>
                <w:sz w:val="18"/>
                <w:szCs w:val="18"/>
                <w:highlight w:val="yellow"/>
                <w:lang w:val="pt"/>
              </w:rPr>
              <w:t>(USD/€)</w:t>
            </w:r>
          </w:p>
        </w:tc>
        <w:tc>
          <w:tcPr>
            <w:tcW w:w="1489" w:type="dxa"/>
            <w:vMerge w:val="restart"/>
            <w:shd w:val="clear" w:color="auto" w:fill="D9E2F3" w:themeFill="accent5" w:themeFillTint="33"/>
            <w:vAlign w:val="center"/>
          </w:tcPr>
          <w:p w14:paraId="04232049" w14:textId="77777777" w:rsidR="00E233CA" w:rsidRPr="002724D9" w:rsidRDefault="00E233CA" w:rsidP="00C97F50">
            <w:pPr>
              <w:jc w:val="center"/>
              <w:rPr>
                <w:rFonts w:ascii="Arial" w:eastAsia="Times New Roman" w:hAnsi="Arial" w:cs="Arial"/>
                <w:b/>
                <w:sz w:val="18"/>
                <w:szCs w:val="18"/>
                <w:lang w:val="pt-BR"/>
              </w:rPr>
            </w:pPr>
            <w:r>
              <w:rPr>
                <w:rFonts w:ascii="Arial" w:eastAsia="Times New Roman" w:hAnsi="Arial" w:cs="Arial"/>
                <w:b/>
                <w:bCs/>
                <w:sz w:val="18"/>
                <w:szCs w:val="18"/>
                <w:lang w:val="pt"/>
              </w:rPr>
              <w:t>Fonte de informação para monitorização e verificação</w:t>
            </w:r>
          </w:p>
        </w:tc>
      </w:tr>
      <w:tr w:rsidR="00E233CA" w14:paraId="04232056" w14:textId="77777777" w:rsidTr="000C2F23">
        <w:trPr>
          <w:trHeight w:val="315"/>
        </w:trPr>
        <w:tc>
          <w:tcPr>
            <w:tcW w:w="885" w:type="dxa"/>
            <w:vMerge/>
            <w:shd w:val="clear" w:color="auto" w:fill="D9E2F3" w:themeFill="accent5" w:themeFillTint="33"/>
            <w:vAlign w:val="center"/>
          </w:tcPr>
          <w:p w14:paraId="0423204B" w14:textId="77777777" w:rsidR="00E233CA" w:rsidRPr="002724D9" w:rsidRDefault="00E233CA" w:rsidP="006A4082">
            <w:pPr>
              <w:rPr>
                <w:rFonts w:ascii="Arial" w:eastAsia="Arial" w:hAnsi="Arial" w:cs="Arial"/>
                <w:color w:val="000000" w:themeColor="text1"/>
                <w:sz w:val="18"/>
                <w:szCs w:val="18"/>
                <w:lang w:val="pt-BR"/>
              </w:rPr>
            </w:pPr>
          </w:p>
        </w:tc>
        <w:tc>
          <w:tcPr>
            <w:tcW w:w="805" w:type="dxa"/>
            <w:shd w:val="clear" w:color="auto" w:fill="D9E2F3" w:themeFill="accent5" w:themeFillTint="33"/>
            <w:vAlign w:val="center"/>
          </w:tcPr>
          <w:p w14:paraId="0423204C"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Mês-A1</w:t>
            </w:r>
          </w:p>
        </w:tc>
        <w:tc>
          <w:tcPr>
            <w:tcW w:w="805" w:type="dxa"/>
            <w:shd w:val="clear" w:color="auto" w:fill="D9E2F3" w:themeFill="accent5" w:themeFillTint="33"/>
            <w:vAlign w:val="center"/>
          </w:tcPr>
          <w:p w14:paraId="0423204D"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Mês-A2</w:t>
            </w:r>
          </w:p>
        </w:tc>
        <w:tc>
          <w:tcPr>
            <w:tcW w:w="805" w:type="dxa"/>
            <w:shd w:val="clear" w:color="auto" w:fill="D9E2F3" w:themeFill="accent5" w:themeFillTint="33"/>
            <w:vAlign w:val="center"/>
          </w:tcPr>
          <w:p w14:paraId="0423204E"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Mês-A3</w:t>
            </w:r>
          </w:p>
        </w:tc>
        <w:tc>
          <w:tcPr>
            <w:tcW w:w="806" w:type="dxa"/>
            <w:vMerge w:val="restart"/>
            <w:shd w:val="clear" w:color="auto" w:fill="D9E2F3" w:themeFill="accent5" w:themeFillTint="33"/>
            <w:vAlign w:val="center"/>
          </w:tcPr>
          <w:p w14:paraId="0423204F" w14:textId="77777777" w:rsidR="00E233CA" w:rsidRPr="000C2F23" w:rsidRDefault="00E233CA" w:rsidP="006A4082">
            <w:pPr>
              <w:rPr>
                <w:rFonts w:ascii="Arial" w:eastAsia="Arial" w:hAnsi="Arial" w:cs="Arial"/>
                <w:sz w:val="18"/>
                <w:szCs w:val="18"/>
              </w:rPr>
            </w:pPr>
            <w:r>
              <w:rPr>
                <w:rFonts w:ascii="Arial" w:eastAsia="Arial" w:hAnsi="Arial" w:cs="Arial"/>
                <w:b/>
                <w:bCs/>
                <w:color w:val="000000" w:themeColor="text1"/>
                <w:sz w:val="18"/>
                <w:szCs w:val="18"/>
                <w:lang w:val="pt"/>
              </w:rPr>
              <w:t>Total</w:t>
            </w:r>
          </w:p>
        </w:tc>
        <w:tc>
          <w:tcPr>
            <w:tcW w:w="815" w:type="dxa"/>
            <w:shd w:val="clear" w:color="auto" w:fill="D9E2F3" w:themeFill="accent5" w:themeFillTint="33"/>
            <w:vAlign w:val="center"/>
          </w:tcPr>
          <w:p w14:paraId="04232050"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Mês-A1</w:t>
            </w:r>
          </w:p>
        </w:tc>
        <w:tc>
          <w:tcPr>
            <w:tcW w:w="815" w:type="dxa"/>
            <w:shd w:val="clear" w:color="auto" w:fill="D9E2F3" w:themeFill="accent5" w:themeFillTint="33"/>
            <w:vAlign w:val="center"/>
          </w:tcPr>
          <w:p w14:paraId="04232051"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Mês-A2</w:t>
            </w:r>
          </w:p>
        </w:tc>
        <w:tc>
          <w:tcPr>
            <w:tcW w:w="815" w:type="dxa"/>
            <w:shd w:val="clear" w:color="auto" w:fill="D9E2F3" w:themeFill="accent5" w:themeFillTint="33"/>
            <w:vAlign w:val="center"/>
          </w:tcPr>
          <w:p w14:paraId="04232052" w14:textId="77777777" w:rsidR="00E233CA" w:rsidRPr="000C2F23" w:rsidRDefault="00E86242" w:rsidP="006A4082">
            <w:pPr>
              <w:rPr>
                <w:rFonts w:ascii="Arial" w:eastAsia="Arial" w:hAnsi="Arial" w:cs="Arial"/>
                <w:color w:val="000000" w:themeColor="text1"/>
                <w:sz w:val="18"/>
                <w:szCs w:val="18"/>
              </w:rPr>
            </w:pPr>
            <w:r>
              <w:rPr>
                <w:rFonts w:ascii="Arial" w:eastAsia="Arial" w:hAnsi="Arial" w:cs="Arial"/>
                <w:b/>
                <w:bCs/>
                <w:color w:val="000000" w:themeColor="text1"/>
                <w:sz w:val="18"/>
                <w:szCs w:val="18"/>
                <w:lang w:val="pt"/>
              </w:rPr>
              <w:t>Mês-A3</w:t>
            </w:r>
          </w:p>
        </w:tc>
        <w:tc>
          <w:tcPr>
            <w:tcW w:w="815" w:type="dxa"/>
            <w:vMerge w:val="restart"/>
            <w:shd w:val="clear" w:color="auto" w:fill="D9E2F3" w:themeFill="accent5" w:themeFillTint="33"/>
            <w:vAlign w:val="center"/>
          </w:tcPr>
          <w:p w14:paraId="04232053" w14:textId="77777777" w:rsidR="00E233CA" w:rsidRPr="000C2F23" w:rsidRDefault="00E233CA" w:rsidP="006A4082">
            <w:pPr>
              <w:rPr>
                <w:rFonts w:ascii="Arial" w:hAnsi="Arial" w:cs="Arial"/>
                <w:sz w:val="18"/>
                <w:szCs w:val="18"/>
              </w:rPr>
            </w:pPr>
            <w:r>
              <w:rPr>
                <w:rFonts w:ascii="Arial" w:eastAsia="Arial" w:hAnsi="Arial" w:cs="Arial"/>
                <w:b/>
                <w:bCs/>
                <w:color w:val="000000" w:themeColor="text1"/>
                <w:sz w:val="18"/>
                <w:szCs w:val="18"/>
                <w:lang w:val="pt"/>
              </w:rPr>
              <w:t>Total</w:t>
            </w:r>
          </w:p>
        </w:tc>
        <w:tc>
          <w:tcPr>
            <w:tcW w:w="1488" w:type="dxa"/>
            <w:vMerge/>
            <w:vAlign w:val="center"/>
          </w:tcPr>
          <w:p w14:paraId="04232054" w14:textId="77777777" w:rsidR="00E233CA" w:rsidRPr="000C2F23" w:rsidRDefault="00E233CA" w:rsidP="006A4082">
            <w:pPr>
              <w:rPr>
                <w:rFonts w:ascii="Arial" w:hAnsi="Arial" w:cs="Arial"/>
                <w:sz w:val="18"/>
                <w:szCs w:val="18"/>
              </w:rPr>
            </w:pPr>
          </w:p>
        </w:tc>
        <w:tc>
          <w:tcPr>
            <w:tcW w:w="1489" w:type="dxa"/>
            <w:vMerge/>
          </w:tcPr>
          <w:p w14:paraId="04232055" w14:textId="77777777" w:rsidR="00E233CA" w:rsidRPr="000C2F23" w:rsidRDefault="00E233CA" w:rsidP="006A4082">
            <w:pPr>
              <w:rPr>
                <w:rFonts w:ascii="Arial" w:hAnsi="Arial" w:cs="Arial"/>
                <w:sz w:val="18"/>
                <w:szCs w:val="18"/>
              </w:rPr>
            </w:pPr>
          </w:p>
        </w:tc>
      </w:tr>
      <w:tr w:rsidR="00E233CA" w14:paraId="04232062" w14:textId="77777777" w:rsidTr="000C2F23">
        <w:trPr>
          <w:trHeight w:val="315"/>
        </w:trPr>
        <w:tc>
          <w:tcPr>
            <w:tcW w:w="885" w:type="dxa"/>
            <w:vMerge/>
            <w:shd w:val="clear" w:color="auto" w:fill="D9E2F3" w:themeFill="accent5" w:themeFillTint="33"/>
            <w:vAlign w:val="center"/>
          </w:tcPr>
          <w:p w14:paraId="04232057" w14:textId="77777777" w:rsidR="00E233CA" w:rsidRPr="000C2F23" w:rsidRDefault="00E233CA" w:rsidP="006A4082">
            <w:pPr>
              <w:rPr>
                <w:rFonts w:ascii="Arial" w:eastAsia="Arial" w:hAnsi="Arial" w:cs="Arial"/>
                <w:color w:val="000000" w:themeColor="text1"/>
                <w:sz w:val="18"/>
                <w:szCs w:val="18"/>
              </w:rPr>
            </w:pPr>
          </w:p>
        </w:tc>
        <w:tc>
          <w:tcPr>
            <w:tcW w:w="805" w:type="dxa"/>
            <w:shd w:val="clear" w:color="auto" w:fill="D9E2F3" w:themeFill="accent5" w:themeFillTint="33"/>
            <w:vAlign w:val="center"/>
          </w:tcPr>
          <w:p w14:paraId="04232058"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Real</w:t>
            </w:r>
          </w:p>
        </w:tc>
        <w:tc>
          <w:tcPr>
            <w:tcW w:w="805" w:type="dxa"/>
            <w:shd w:val="clear" w:color="auto" w:fill="D9E2F3" w:themeFill="accent5" w:themeFillTint="33"/>
            <w:vAlign w:val="center"/>
          </w:tcPr>
          <w:p w14:paraId="04232059"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Provisório</w:t>
            </w:r>
          </w:p>
        </w:tc>
        <w:tc>
          <w:tcPr>
            <w:tcW w:w="805" w:type="dxa"/>
            <w:shd w:val="clear" w:color="auto" w:fill="D9E2F3" w:themeFill="accent5" w:themeFillTint="33"/>
            <w:vAlign w:val="center"/>
          </w:tcPr>
          <w:p w14:paraId="0423205A"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 xml:space="preserve"> Orçamento</w:t>
            </w:r>
          </w:p>
        </w:tc>
        <w:tc>
          <w:tcPr>
            <w:tcW w:w="806" w:type="dxa"/>
            <w:vMerge/>
            <w:shd w:val="clear" w:color="auto" w:fill="D9E2F3" w:themeFill="accent5" w:themeFillTint="33"/>
            <w:vAlign w:val="center"/>
          </w:tcPr>
          <w:p w14:paraId="0423205B" w14:textId="77777777" w:rsidR="00E233CA" w:rsidRPr="000C2F23" w:rsidRDefault="00E233CA" w:rsidP="006A4082">
            <w:pPr>
              <w:rPr>
                <w:rFonts w:ascii="Arial" w:eastAsia="Arial" w:hAnsi="Arial" w:cs="Arial"/>
                <w:b/>
                <w:bCs/>
                <w:color w:val="000000" w:themeColor="text1"/>
                <w:sz w:val="18"/>
                <w:szCs w:val="18"/>
              </w:rPr>
            </w:pPr>
          </w:p>
        </w:tc>
        <w:tc>
          <w:tcPr>
            <w:tcW w:w="815" w:type="dxa"/>
            <w:shd w:val="clear" w:color="auto" w:fill="D9E2F3" w:themeFill="accent5" w:themeFillTint="33"/>
            <w:vAlign w:val="center"/>
          </w:tcPr>
          <w:p w14:paraId="0423205C"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Orçamento</w:t>
            </w:r>
          </w:p>
        </w:tc>
        <w:tc>
          <w:tcPr>
            <w:tcW w:w="815" w:type="dxa"/>
            <w:shd w:val="clear" w:color="auto" w:fill="D9E2F3" w:themeFill="accent5" w:themeFillTint="33"/>
            <w:vAlign w:val="center"/>
          </w:tcPr>
          <w:p w14:paraId="0423205D"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Orçamento</w:t>
            </w:r>
          </w:p>
        </w:tc>
        <w:tc>
          <w:tcPr>
            <w:tcW w:w="815" w:type="dxa"/>
            <w:shd w:val="clear" w:color="auto" w:fill="D9E2F3" w:themeFill="accent5" w:themeFillTint="33"/>
            <w:vAlign w:val="center"/>
          </w:tcPr>
          <w:p w14:paraId="0423205E" w14:textId="77777777" w:rsidR="00E233CA" w:rsidRPr="000C2F23" w:rsidRDefault="00E233CA" w:rsidP="006A4082">
            <w:pPr>
              <w:rPr>
                <w:rFonts w:ascii="Arial" w:eastAsia="Arial" w:hAnsi="Arial" w:cs="Arial"/>
                <w:color w:val="000000" w:themeColor="text1"/>
                <w:sz w:val="18"/>
                <w:szCs w:val="18"/>
              </w:rPr>
            </w:pPr>
            <w:r>
              <w:rPr>
                <w:rFonts w:ascii="Arial" w:eastAsia="Arial" w:hAnsi="Arial" w:cs="Arial"/>
                <w:color w:val="000000" w:themeColor="text1"/>
                <w:sz w:val="18"/>
                <w:szCs w:val="18"/>
                <w:lang w:val="pt"/>
              </w:rPr>
              <w:t>Orçamento</w:t>
            </w:r>
          </w:p>
        </w:tc>
        <w:tc>
          <w:tcPr>
            <w:tcW w:w="815" w:type="dxa"/>
            <w:vMerge/>
            <w:shd w:val="clear" w:color="auto" w:fill="D9E2F3" w:themeFill="accent5" w:themeFillTint="33"/>
            <w:vAlign w:val="center"/>
          </w:tcPr>
          <w:p w14:paraId="0423205F" w14:textId="77777777" w:rsidR="00E233CA" w:rsidRPr="000C2F23" w:rsidRDefault="00E233CA" w:rsidP="006A4082">
            <w:pPr>
              <w:rPr>
                <w:rFonts w:ascii="Arial" w:hAnsi="Arial" w:cs="Arial"/>
                <w:sz w:val="18"/>
                <w:szCs w:val="18"/>
              </w:rPr>
            </w:pPr>
          </w:p>
        </w:tc>
        <w:tc>
          <w:tcPr>
            <w:tcW w:w="1488" w:type="dxa"/>
            <w:vMerge/>
            <w:vAlign w:val="center"/>
          </w:tcPr>
          <w:p w14:paraId="04232060" w14:textId="77777777" w:rsidR="00E233CA" w:rsidRPr="000C2F23" w:rsidRDefault="00E233CA" w:rsidP="006A4082">
            <w:pPr>
              <w:rPr>
                <w:rFonts w:ascii="Arial" w:hAnsi="Arial" w:cs="Arial"/>
                <w:sz w:val="18"/>
                <w:szCs w:val="18"/>
              </w:rPr>
            </w:pPr>
          </w:p>
        </w:tc>
        <w:tc>
          <w:tcPr>
            <w:tcW w:w="1489" w:type="dxa"/>
            <w:vMerge/>
          </w:tcPr>
          <w:p w14:paraId="04232061" w14:textId="77777777" w:rsidR="00E233CA" w:rsidRPr="000C2F23" w:rsidRDefault="00E233CA" w:rsidP="006A4082">
            <w:pPr>
              <w:rPr>
                <w:rFonts w:ascii="Arial" w:hAnsi="Arial" w:cs="Arial"/>
                <w:sz w:val="18"/>
                <w:szCs w:val="18"/>
              </w:rPr>
            </w:pPr>
          </w:p>
        </w:tc>
      </w:tr>
      <w:tr w:rsidR="006D3278" w14:paraId="0423206E" w14:textId="77777777" w:rsidTr="000C2F23">
        <w:trPr>
          <w:trHeight w:val="315"/>
        </w:trPr>
        <w:tc>
          <w:tcPr>
            <w:tcW w:w="885" w:type="dxa"/>
            <w:vAlign w:val="center"/>
          </w:tcPr>
          <w:p w14:paraId="04232063" w14:textId="77777777" w:rsidR="006A4082" w:rsidRPr="000C2F23" w:rsidRDefault="006A4082" w:rsidP="006A4082">
            <w:pPr>
              <w:rPr>
                <w:rFonts w:ascii="Arial" w:eastAsia="Arial" w:hAnsi="Arial" w:cs="Arial"/>
                <w:sz w:val="18"/>
                <w:szCs w:val="18"/>
              </w:rPr>
            </w:pPr>
            <w:r>
              <w:rPr>
                <w:rFonts w:ascii="Arial" w:eastAsia="Arial" w:hAnsi="Arial" w:cs="Arial"/>
                <w:sz w:val="18"/>
                <w:szCs w:val="18"/>
                <w:lang w:val="pt"/>
              </w:rPr>
              <w:t xml:space="preserve">VIH </w:t>
            </w:r>
          </w:p>
        </w:tc>
        <w:tc>
          <w:tcPr>
            <w:tcW w:w="805" w:type="dxa"/>
            <w:vAlign w:val="center"/>
          </w:tcPr>
          <w:p w14:paraId="04232064"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65"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66" w14:textId="77777777" w:rsidR="006A4082" w:rsidRPr="000C2F23" w:rsidRDefault="006A4082" w:rsidP="000C2F23">
            <w:pPr>
              <w:jc w:val="center"/>
              <w:rPr>
                <w:rFonts w:ascii="Arial" w:eastAsia="Arial" w:hAnsi="Arial" w:cs="Arial"/>
                <w:sz w:val="18"/>
                <w:szCs w:val="18"/>
              </w:rPr>
            </w:pPr>
          </w:p>
        </w:tc>
        <w:tc>
          <w:tcPr>
            <w:tcW w:w="806" w:type="dxa"/>
            <w:vAlign w:val="center"/>
          </w:tcPr>
          <w:p w14:paraId="04232067"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68"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69"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6A"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6B" w14:textId="77777777" w:rsidR="006A4082" w:rsidRPr="000C2F23" w:rsidRDefault="006A4082" w:rsidP="000C2F23">
            <w:pPr>
              <w:jc w:val="center"/>
              <w:rPr>
                <w:rFonts w:ascii="Arial" w:eastAsia="Arial" w:hAnsi="Arial" w:cs="Arial"/>
                <w:sz w:val="18"/>
                <w:szCs w:val="18"/>
              </w:rPr>
            </w:pPr>
          </w:p>
        </w:tc>
        <w:tc>
          <w:tcPr>
            <w:tcW w:w="1488" w:type="dxa"/>
            <w:vAlign w:val="center"/>
          </w:tcPr>
          <w:p w14:paraId="0423206C" w14:textId="77777777" w:rsidR="006A4082" w:rsidRPr="000C2F23" w:rsidRDefault="006A4082" w:rsidP="000C2F23">
            <w:pPr>
              <w:jc w:val="center"/>
              <w:rPr>
                <w:rFonts w:ascii="Arial" w:eastAsia="Arial" w:hAnsi="Arial" w:cs="Arial"/>
                <w:sz w:val="18"/>
                <w:szCs w:val="18"/>
              </w:rPr>
            </w:pPr>
          </w:p>
        </w:tc>
        <w:tc>
          <w:tcPr>
            <w:tcW w:w="1489" w:type="dxa"/>
            <w:vAlign w:val="center"/>
          </w:tcPr>
          <w:p w14:paraId="0423206D" w14:textId="77777777" w:rsidR="006A4082" w:rsidRPr="000C2F23" w:rsidRDefault="006A4082" w:rsidP="000C2F23">
            <w:pPr>
              <w:rPr>
                <w:rFonts w:ascii="Arial" w:eastAsia="Arial" w:hAnsi="Arial" w:cs="Arial"/>
                <w:sz w:val="18"/>
                <w:szCs w:val="18"/>
              </w:rPr>
            </w:pPr>
          </w:p>
        </w:tc>
      </w:tr>
      <w:tr w:rsidR="006D3278" w14:paraId="0423207A" w14:textId="77777777" w:rsidTr="000C2F23">
        <w:trPr>
          <w:trHeight w:val="315"/>
        </w:trPr>
        <w:tc>
          <w:tcPr>
            <w:tcW w:w="885" w:type="dxa"/>
            <w:vAlign w:val="center"/>
          </w:tcPr>
          <w:p w14:paraId="0423206F" w14:textId="77777777" w:rsidR="006A4082" w:rsidRPr="000C2F23" w:rsidRDefault="006A4082" w:rsidP="006A4082">
            <w:pPr>
              <w:rPr>
                <w:rFonts w:ascii="Arial" w:eastAsia="Arial" w:hAnsi="Arial" w:cs="Arial"/>
                <w:sz w:val="18"/>
                <w:szCs w:val="18"/>
              </w:rPr>
            </w:pPr>
            <w:r>
              <w:rPr>
                <w:rFonts w:ascii="Arial" w:eastAsia="Arial" w:hAnsi="Arial" w:cs="Arial"/>
                <w:sz w:val="18"/>
                <w:szCs w:val="18"/>
                <w:lang w:val="pt"/>
              </w:rPr>
              <w:t xml:space="preserve">TB </w:t>
            </w:r>
          </w:p>
        </w:tc>
        <w:tc>
          <w:tcPr>
            <w:tcW w:w="805" w:type="dxa"/>
            <w:vAlign w:val="center"/>
          </w:tcPr>
          <w:p w14:paraId="04232070"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71"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72" w14:textId="77777777" w:rsidR="006A4082" w:rsidRPr="000C2F23" w:rsidRDefault="006A4082" w:rsidP="000C2F23">
            <w:pPr>
              <w:jc w:val="center"/>
              <w:rPr>
                <w:rFonts w:ascii="Arial" w:eastAsia="Arial" w:hAnsi="Arial" w:cs="Arial"/>
                <w:sz w:val="18"/>
                <w:szCs w:val="18"/>
              </w:rPr>
            </w:pPr>
          </w:p>
        </w:tc>
        <w:tc>
          <w:tcPr>
            <w:tcW w:w="806" w:type="dxa"/>
            <w:vAlign w:val="center"/>
          </w:tcPr>
          <w:p w14:paraId="04232073"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74"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75"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76"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77" w14:textId="77777777" w:rsidR="006A4082" w:rsidRPr="000C2F23" w:rsidRDefault="006A4082" w:rsidP="000C2F23">
            <w:pPr>
              <w:jc w:val="center"/>
              <w:rPr>
                <w:rFonts w:ascii="Arial" w:eastAsia="Arial" w:hAnsi="Arial" w:cs="Arial"/>
                <w:sz w:val="18"/>
                <w:szCs w:val="18"/>
              </w:rPr>
            </w:pPr>
          </w:p>
        </w:tc>
        <w:tc>
          <w:tcPr>
            <w:tcW w:w="1488" w:type="dxa"/>
            <w:vAlign w:val="center"/>
          </w:tcPr>
          <w:p w14:paraId="04232078" w14:textId="77777777" w:rsidR="006A4082" w:rsidRPr="000C2F23" w:rsidRDefault="006A4082" w:rsidP="000C2F23">
            <w:pPr>
              <w:jc w:val="center"/>
              <w:rPr>
                <w:rFonts w:ascii="Arial" w:eastAsia="Arial" w:hAnsi="Arial" w:cs="Arial"/>
                <w:sz w:val="18"/>
                <w:szCs w:val="18"/>
              </w:rPr>
            </w:pPr>
          </w:p>
        </w:tc>
        <w:tc>
          <w:tcPr>
            <w:tcW w:w="1489" w:type="dxa"/>
            <w:vAlign w:val="center"/>
          </w:tcPr>
          <w:p w14:paraId="04232079" w14:textId="77777777" w:rsidR="006A4082" w:rsidRPr="000C2F23" w:rsidRDefault="006A4082" w:rsidP="000C2F23">
            <w:pPr>
              <w:rPr>
                <w:rFonts w:ascii="Arial" w:eastAsia="Arial" w:hAnsi="Arial" w:cs="Arial"/>
                <w:sz w:val="18"/>
                <w:szCs w:val="18"/>
              </w:rPr>
            </w:pPr>
          </w:p>
        </w:tc>
      </w:tr>
      <w:tr w:rsidR="006D3278" w14:paraId="04232086" w14:textId="77777777" w:rsidTr="000C2F23">
        <w:trPr>
          <w:trHeight w:val="315"/>
        </w:trPr>
        <w:tc>
          <w:tcPr>
            <w:tcW w:w="885" w:type="dxa"/>
            <w:vAlign w:val="center"/>
          </w:tcPr>
          <w:p w14:paraId="0423207B" w14:textId="77777777" w:rsidR="006A4082" w:rsidRPr="000C2F23" w:rsidRDefault="006A4082" w:rsidP="006A4082">
            <w:pPr>
              <w:rPr>
                <w:rFonts w:ascii="Arial" w:eastAsia="Arial" w:hAnsi="Arial" w:cs="Arial"/>
                <w:sz w:val="18"/>
                <w:szCs w:val="18"/>
              </w:rPr>
            </w:pPr>
            <w:r>
              <w:rPr>
                <w:rFonts w:ascii="Arial" w:eastAsia="Arial" w:hAnsi="Arial" w:cs="Arial"/>
                <w:sz w:val="18"/>
                <w:szCs w:val="18"/>
                <w:lang w:val="pt"/>
              </w:rPr>
              <w:t xml:space="preserve">Malária </w:t>
            </w:r>
          </w:p>
        </w:tc>
        <w:tc>
          <w:tcPr>
            <w:tcW w:w="805" w:type="dxa"/>
            <w:vAlign w:val="center"/>
          </w:tcPr>
          <w:p w14:paraId="0423207C"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7D"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7E" w14:textId="77777777" w:rsidR="006A4082" w:rsidRPr="000C2F23" w:rsidRDefault="006A4082" w:rsidP="000C2F23">
            <w:pPr>
              <w:jc w:val="center"/>
              <w:rPr>
                <w:rFonts w:ascii="Arial" w:eastAsia="Arial" w:hAnsi="Arial" w:cs="Arial"/>
                <w:sz w:val="18"/>
                <w:szCs w:val="18"/>
              </w:rPr>
            </w:pPr>
          </w:p>
        </w:tc>
        <w:tc>
          <w:tcPr>
            <w:tcW w:w="806" w:type="dxa"/>
            <w:vAlign w:val="center"/>
          </w:tcPr>
          <w:p w14:paraId="0423207F"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0"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1"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2"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3" w14:textId="77777777" w:rsidR="006A4082" w:rsidRPr="000C2F23" w:rsidRDefault="006A4082" w:rsidP="000C2F23">
            <w:pPr>
              <w:jc w:val="center"/>
              <w:rPr>
                <w:rFonts w:ascii="Arial" w:eastAsia="Arial" w:hAnsi="Arial" w:cs="Arial"/>
                <w:sz w:val="18"/>
                <w:szCs w:val="18"/>
              </w:rPr>
            </w:pPr>
          </w:p>
        </w:tc>
        <w:tc>
          <w:tcPr>
            <w:tcW w:w="1488" w:type="dxa"/>
            <w:vAlign w:val="center"/>
          </w:tcPr>
          <w:p w14:paraId="04232084" w14:textId="77777777" w:rsidR="006A4082" w:rsidRPr="000C2F23" w:rsidRDefault="006A4082" w:rsidP="000C2F23">
            <w:pPr>
              <w:jc w:val="center"/>
              <w:rPr>
                <w:rFonts w:ascii="Arial" w:eastAsia="Arial" w:hAnsi="Arial" w:cs="Arial"/>
                <w:sz w:val="18"/>
                <w:szCs w:val="18"/>
              </w:rPr>
            </w:pPr>
          </w:p>
        </w:tc>
        <w:tc>
          <w:tcPr>
            <w:tcW w:w="1489" w:type="dxa"/>
            <w:vAlign w:val="center"/>
          </w:tcPr>
          <w:p w14:paraId="04232085" w14:textId="77777777" w:rsidR="006A4082" w:rsidRPr="000C2F23" w:rsidRDefault="006A4082" w:rsidP="000C2F23">
            <w:pPr>
              <w:rPr>
                <w:rFonts w:ascii="Arial" w:eastAsia="Arial" w:hAnsi="Arial" w:cs="Arial"/>
                <w:sz w:val="18"/>
                <w:szCs w:val="18"/>
              </w:rPr>
            </w:pPr>
          </w:p>
        </w:tc>
      </w:tr>
      <w:tr w:rsidR="006D3278" w14:paraId="04232092" w14:textId="77777777" w:rsidTr="000C2F23">
        <w:trPr>
          <w:trHeight w:val="315"/>
        </w:trPr>
        <w:tc>
          <w:tcPr>
            <w:tcW w:w="885" w:type="dxa"/>
            <w:vAlign w:val="center"/>
          </w:tcPr>
          <w:p w14:paraId="04232087" w14:textId="77777777" w:rsidR="006A4082" w:rsidRPr="000C2F23" w:rsidRDefault="006A4082" w:rsidP="006A4082">
            <w:pPr>
              <w:rPr>
                <w:rFonts w:ascii="Arial" w:eastAsia="Arial" w:hAnsi="Arial" w:cs="Arial"/>
                <w:sz w:val="18"/>
                <w:szCs w:val="18"/>
              </w:rPr>
            </w:pPr>
            <w:r>
              <w:rPr>
                <w:rFonts w:ascii="Arial" w:eastAsia="Arial" w:hAnsi="Arial" w:cs="Arial"/>
                <w:sz w:val="18"/>
                <w:szCs w:val="18"/>
                <w:lang w:val="pt"/>
              </w:rPr>
              <w:t xml:space="preserve">SSRS </w:t>
            </w:r>
          </w:p>
        </w:tc>
        <w:tc>
          <w:tcPr>
            <w:tcW w:w="805" w:type="dxa"/>
            <w:vAlign w:val="center"/>
          </w:tcPr>
          <w:p w14:paraId="04232088"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89"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8A" w14:textId="77777777" w:rsidR="006A4082" w:rsidRPr="000C2F23" w:rsidRDefault="006A4082" w:rsidP="000C2F23">
            <w:pPr>
              <w:jc w:val="center"/>
              <w:rPr>
                <w:rFonts w:ascii="Arial" w:eastAsia="Arial" w:hAnsi="Arial" w:cs="Arial"/>
                <w:sz w:val="18"/>
                <w:szCs w:val="18"/>
              </w:rPr>
            </w:pPr>
          </w:p>
        </w:tc>
        <w:tc>
          <w:tcPr>
            <w:tcW w:w="806" w:type="dxa"/>
            <w:vAlign w:val="center"/>
          </w:tcPr>
          <w:p w14:paraId="0423208B"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C"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D"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E"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8F" w14:textId="77777777" w:rsidR="006A4082" w:rsidRPr="000C2F23" w:rsidRDefault="006A4082" w:rsidP="000C2F23">
            <w:pPr>
              <w:jc w:val="center"/>
              <w:rPr>
                <w:rFonts w:ascii="Arial" w:eastAsia="Arial" w:hAnsi="Arial" w:cs="Arial"/>
                <w:sz w:val="18"/>
                <w:szCs w:val="18"/>
              </w:rPr>
            </w:pPr>
          </w:p>
        </w:tc>
        <w:tc>
          <w:tcPr>
            <w:tcW w:w="1488" w:type="dxa"/>
            <w:vAlign w:val="center"/>
          </w:tcPr>
          <w:p w14:paraId="04232090" w14:textId="77777777" w:rsidR="006A4082" w:rsidRPr="000C2F23" w:rsidRDefault="006A4082" w:rsidP="000C2F23">
            <w:pPr>
              <w:jc w:val="center"/>
              <w:rPr>
                <w:rFonts w:ascii="Arial" w:eastAsia="Arial" w:hAnsi="Arial" w:cs="Arial"/>
                <w:sz w:val="18"/>
                <w:szCs w:val="18"/>
              </w:rPr>
            </w:pPr>
          </w:p>
        </w:tc>
        <w:tc>
          <w:tcPr>
            <w:tcW w:w="1489" w:type="dxa"/>
            <w:vAlign w:val="center"/>
          </w:tcPr>
          <w:p w14:paraId="04232091" w14:textId="77777777" w:rsidR="006A4082" w:rsidRPr="000C2F23" w:rsidRDefault="006A4082" w:rsidP="000C2F23">
            <w:pPr>
              <w:rPr>
                <w:rFonts w:ascii="Arial" w:eastAsia="Arial" w:hAnsi="Arial" w:cs="Arial"/>
                <w:sz w:val="18"/>
                <w:szCs w:val="18"/>
              </w:rPr>
            </w:pPr>
          </w:p>
        </w:tc>
      </w:tr>
      <w:tr w:rsidR="006D3278" w14:paraId="0423209E" w14:textId="77777777" w:rsidTr="000C2F23">
        <w:trPr>
          <w:trHeight w:val="315"/>
        </w:trPr>
        <w:tc>
          <w:tcPr>
            <w:tcW w:w="885" w:type="dxa"/>
            <w:vAlign w:val="center"/>
          </w:tcPr>
          <w:p w14:paraId="04232093" w14:textId="77777777" w:rsidR="006A4082" w:rsidRPr="000C2F23" w:rsidRDefault="006A4082" w:rsidP="006A4082">
            <w:pPr>
              <w:rPr>
                <w:rFonts w:ascii="Arial" w:eastAsia="Arial" w:hAnsi="Arial" w:cs="Arial"/>
                <w:sz w:val="18"/>
                <w:szCs w:val="18"/>
              </w:rPr>
            </w:pPr>
            <w:r>
              <w:rPr>
                <w:rFonts w:ascii="Arial" w:eastAsia="Arial" w:hAnsi="Arial" w:cs="Arial"/>
                <w:b/>
                <w:bCs/>
                <w:sz w:val="18"/>
                <w:szCs w:val="18"/>
                <w:lang w:val="pt"/>
              </w:rPr>
              <w:t>Totais</w:t>
            </w:r>
            <w:r>
              <w:rPr>
                <w:rFonts w:ascii="Arial" w:eastAsia="Arial" w:hAnsi="Arial" w:cs="Arial"/>
                <w:sz w:val="18"/>
                <w:szCs w:val="18"/>
                <w:lang w:val="pt"/>
              </w:rPr>
              <w:t xml:space="preserve"> </w:t>
            </w:r>
          </w:p>
        </w:tc>
        <w:tc>
          <w:tcPr>
            <w:tcW w:w="805" w:type="dxa"/>
            <w:vAlign w:val="center"/>
          </w:tcPr>
          <w:p w14:paraId="04232094"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95" w14:textId="77777777" w:rsidR="006A4082" w:rsidRPr="000C2F23" w:rsidRDefault="006A4082" w:rsidP="000C2F23">
            <w:pPr>
              <w:jc w:val="center"/>
              <w:rPr>
                <w:rFonts w:ascii="Arial" w:eastAsia="Arial" w:hAnsi="Arial" w:cs="Arial"/>
                <w:sz w:val="18"/>
                <w:szCs w:val="18"/>
              </w:rPr>
            </w:pPr>
          </w:p>
        </w:tc>
        <w:tc>
          <w:tcPr>
            <w:tcW w:w="805" w:type="dxa"/>
            <w:vAlign w:val="center"/>
          </w:tcPr>
          <w:p w14:paraId="04232096" w14:textId="77777777" w:rsidR="006A4082" w:rsidRPr="000C2F23" w:rsidRDefault="006A4082" w:rsidP="000C2F23">
            <w:pPr>
              <w:jc w:val="center"/>
              <w:rPr>
                <w:rFonts w:ascii="Arial" w:eastAsia="Arial" w:hAnsi="Arial" w:cs="Arial"/>
                <w:sz w:val="18"/>
                <w:szCs w:val="18"/>
              </w:rPr>
            </w:pPr>
          </w:p>
        </w:tc>
        <w:tc>
          <w:tcPr>
            <w:tcW w:w="806" w:type="dxa"/>
            <w:vAlign w:val="center"/>
          </w:tcPr>
          <w:p w14:paraId="04232097"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98"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99"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9A" w14:textId="77777777" w:rsidR="006A4082" w:rsidRPr="000C2F23" w:rsidRDefault="006A4082" w:rsidP="000C2F23">
            <w:pPr>
              <w:jc w:val="center"/>
              <w:rPr>
                <w:rFonts w:ascii="Arial" w:eastAsia="Arial" w:hAnsi="Arial" w:cs="Arial"/>
                <w:sz w:val="18"/>
                <w:szCs w:val="18"/>
              </w:rPr>
            </w:pPr>
          </w:p>
        </w:tc>
        <w:tc>
          <w:tcPr>
            <w:tcW w:w="815" w:type="dxa"/>
            <w:vAlign w:val="center"/>
          </w:tcPr>
          <w:p w14:paraId="0423209B" w14:textId="77777777" w:rsidR="006A4082" w:rsidRPr="000C2F23" w:rsidRDefault="006A4082" w:rsidP="000C2F23">
            <w:pPr>
              <w:jc w:val="center"/>
              <w:rPr>
                <w:rFonts w:ascii="Arial" w:eastAsia="Arial" w:hAnsi="Arial" w:cs="Arial"/>
                <w:sz w:val="18"/>
                <w:szCs w:val="18"/>
              </w:rPr>
            </w:pPr>
          </w:p>
        </w:tc>
        <w:tc>
          <w:tcPr>
            <w:tcW w:w="1488" w:type="dxa"/>
            <w:vAlign w:val="center"/>
          </w:tcPr>
          <w:p w14:paraId="0423209C" w14:textId="77777777" w:rsidR="006A4082" w:rsidRPr="000C2F23" w:rsidRDefault="006A4082" w:rsidP="000C2F23">
            <w:pPr>
              <w:jc w:val="center"/>
              <w:rPr>
                <w:rFonts w:ascii="Arial" w:eastAsia="Arial" w:hAnsi="Arial" w:cs="Arial"/>
                <w:sz w:val="18"/>
                <w:szCs w:val="18"/>
              </w:rPr>
            </w:pPr>
          </w:p>
        </w:tc>
        <w:tc>
          <w:tcPr>
            <w:tcW w:w="1489" w:type="dxa"/>
            <w:vAlign w:val="center"/>
          </w:tcPr>
          <w:p w14:paraId="0423209D" w14:textId="77777777" w:rsidR="006A4082" w:rsidRPr="000C2F23" w:rsidRDefault="006A4082" w:rsidP="000C2F23">
            <w:pPr>
              <w:rPr>
                <w:rFonts w:ascii="Arial" w:eastAsia="Arial" w:hAnsi="Arial" w:cs="Arial"/>
                <w:sz w:val="18"/>
                <w:szCs w:val="18"/>
              </w:rPr>
            </w:pPr>
          </w:p>
        </w:tc>
      </w:tr>
    </w:tbl>
    <w:p w14:paraId="0423209F" w14:textId="77777777" w:rsidR="002E7ABE" w:rsidRDefault="002E7ABE" w:rsidP="3E1FCAEC">
      <w:pPr>
        <w:rPr>
          <w:rFonts w:ascii="Arial" w:eastAsia="Arial" w:hAnsi="Arial" w:cs="Arial"/>
        </w:rPr>
      </w:pPr>
    </w:p>
    <w:p w14:paraId="042320A0" w14:textId="1B875061" w:rsidR="2667F115" w:rsidRPr="002724D9" w:rsidRDefault="002E7ABE" w:rsidP="3E1FCAEC">
      <w:pPr>
        <w:rPr>
          <w:rFonts w:ascii="Arial" w:eastAsia="Arial" w:hAnsi="Arial" w:cs="Arial"/>
          <w:lang w:val="pt-BR"/>
        </w:rPr>
      </w:pPr>
      <w:r>
        <w:rPr>
          <w:rFonts w:ascii="Arial" w:eastAsia="Arial" w:hAnsi="Arial" w:cs="Arial"/>
          <w:lang w:val="pt"/>
        </w:rPr>
        <w:t xml:space="preserve">Notas importantes </w:t>
      </w:r>
      <w:r>
        <w:rPr>
          <w:rFonts w:ascii="Arial" w:eastAsia="Arial" w:hAnsi="Arial" w:cs="Arial"/>
          <w:highlight w:val="yellow"/>
          <w:lang w:val="pt"/>
        </w:rPr>
        <w:t>(incluindo as taxas de câmbio adotadas e quaisquer outros aspetos relevantes):</w:t>
      </w:r>
    </w:p>
    <w:p w14:paraId="042320A1" w14:textId="346DA132" w:rsidR="2667F115" w:rsidRPr="002724D9" w:rsidRDefault="2667F115" w:rsidP="00426EB6">
      <w:pPr>
        <w:spacing w:line="242" w:lineRule="atLeast"/>
        <w:rPr>
          <w:rFonts w:ascii="Arial" w:eastAsia="Arial" w:hAnsi="Arial" w:cs="Arial"/>
          <w:lang w:val="pt-BR"/>
        </w:rPr>
      </w:pPr>
    </w:p>
    <w:p w14:paraId="042320A2" w14:textId="6CCDB874" w:rsidR="00A43C6B" w:rsidRPr="002724D9" w:rsidRDefault="00A406A4" w:rsidP="00333D33">
      <w:pPr>
        <w:spacing w:line="242" w:lineRule="atLeast"/>
        <w:rPr>
          <w:rFonts w:ascii="Arial" w:eastAsia="Times New Roman" w:hAnsi="Arial" w:cs="Arial"/>
          <w:lang w:val="pt-BR"/>
        </w:rPr>
      </w:pPr>
      <w:r>
        <w:rPr>
          <w:rFonts w:ascii="Arial" w:eastAsia="Times New Roman" w:hAnsi="Arial" w:cs="Arial"/>
          <w:b/>
          <w:bCs/>
          <w:i/>
          <w:iCs/>
          <w:lang w:val="pt"/>
        </w:rPr>
        <w:t>1.3. Compromissos programáticos específicos.</w:t>
      </w:r>
      <w:r>
        <w:rPr>
          <w:rFonts w:ascii="Arial" w:eastAsia="Times New Roman" w:hAnsi="Arial" w:cs="Arial"/>
          <w:lang w:val="pt"/>
        </w:rPr>
        <w:t xml:space="preserve"> Assumimos igualmente o compromisso de direcionar parte das nossas despesas internas acrescidas durante o período de atribuição de 2023-2025 para atividades e intervenções específicas relacionadas com o VIH, a TB, a malária e os sistemas de saúde resilientes e sustentáveis. A tabela seguinte apresenta para cada atividade e intervenção concreta os montantes totais com que nos comprometemos durante o período de atribuição de 2023-2025 nestas áreas específicas.</w:t>
      </w:r>
    </w:p>
    <w:p w14:paraId="042320A3" w14:textId="75664694" w:rsidR="00A43C6B" w:rsidRPr="002724D9" w:rsidRDefault="00400325" w:rsidP="00A43C6B">
      <w:pPr>
        <w:spacing w:before="120" w:line="242" w:lineRule="atLeast"/>
        <w:rPr>
          <w:rFonts w:ascii="Arial" w:hAnsi="Arial" w:cs="Arial"/>
          <w:b/>
          <w:bCs/>
          <w:lang w:val="pt-BR"/>
        </w:rPr>
      </w:pPr>
      <w:r>
        <w:rPr>
          <w:rFonts w:ascii="Arial" w:hAnsi="Arial" w:cs="Arial"/>
          <w:b/>
          <w:bCs/>
          <w:lang w:val="pt"/>
        </w:rPr>
        <w:t>Compromissos programáticos específicos para o período de atribuição de 2023-2025</w:t>
      </w:r>
    </w:p>
    <w:p w14:paraId="042320A4" w14:textId="77777777" w:rsidR="00B46484" w:rsidRPr="002724D9" w:rsidRDefault="00B46484" w:rsidP="00333D33">
      <w:pPr>
        <w:spacing w:line="242" w:lineRule="atLeast"/>
        <w:rPr>
          <w:rFonts w:ascii="Arial" w:eastAsia="Times New Roman" w:hAnsi="Arial" w:cs="Arial"/>
          <w:lang w:val="pt-BR"/>
        </w:rPr>
      </w:pPr>
    </w:p>
    <w:tbl>
      <w:tblPr>
        <w:tblStyle w:val="TableGrid"/>
        <w:tblW w:w="10435" w:type="dxa"/>
        <w:tblLayout w:type="fixed"/>
        <w:tblLook w:val="04A0" w:firstRow="1" w:lastRow="0" w:firstColumn="1" w:lastColumn="0" w:noHBand="0" w:noVBand="1"/>
      </w:tblPr>
      <w:tblGrid>
        <w:gridCol w:w="1165"/>
        <w:gridCol w:w="2790"/>
        <w:gridCol w:w="2250"/>
        <w:gridCol w:w="2430"/>
        <w:gridCol w:w="1800"/>
      </w:tblGrid>
      <w:tr w:rsidR="004C214E" w:rsidRPr="00637EEF" w14:paraId="042320AA" w14:textId="77777777" w:rsidTr="004C214E">
        <w:trPr>
          <w:trHeight w:val="1052"/>
        </w:trPr>
        <w:tc>
          <w:tcPr>
            <w:tcW w:w="1165" w:type="dxa"/>
            <w:shd w:val="clear" w:color="auto" w:fill="D9E2F3" w:themeFill="accent5" w:themeFillTint="33"/>
          </w:tcPr>
          <w:p w14:paraId="042320A5" w14:textId="77777777" w:rsidR="004C214E" w:rsidRPr="005E4CF7" w:rsidRDefault="004C214E" w:rsidP="006111C2">
            <w:pPr>
              <w:spacing w:line="242" w:lineRule="atLeast"/>
              <w:rPr>
                <w:rFonts w:ascii="Arial" w:eastAsia="Times New Roman" w:hAnsi="Arial" w:cs="Arial"/>
                <w:b/>
                <w:bCs/>
                <w:sz w:val="20"/>
                <w:szCs w:val="20"/>
              </w:rPr>
            </w:pPr>
            <w:r>
              <w:rPr>
                <w:rFonts w:ascii="Arial" w:eastAsia="Times New Roman" w:hAnsi="Arial" w:cs="Arial"/>
                <w:b/>
                <w:bCs/>
                <w:sz w:val="20"/>
                <w:szCs w:val="20"/>
                <w:lang w:val="pt"/>
              </w:rPr>
              <w:t>Programa</w:t>
            </w:r>
          </w:p>
        </w:tc>
        <w:tc>
          <w:tcPr>
            <w:tcW w:w="2790" w:type="dxa"/>
            <w:shd w:val="clear" w:color="auto" w:fill="D9E2F3" w:themeFill="accent5" w:themeFillTint="33"/>
          </w:tcPr>
          <w:p w14:paraId="042320A6" w14:textId="77777777" w:rsidR="004C214E" w:rsidRPr="005E4CF7" w:rsidRDefault="004C214E" w:rsidP="006111C2">
            <w:pPr>
              <w:spacing w:line="242" w:lineRule="atLeast"/>
              <w:rPr>
                <w:rFonts w:ascii="Arial" w:eastAsia="Times New Roman" w:hAnsi="Arial" w:cs="Arial"/>
                <w:b/>
                <w:bCs/>
                <w:sz w:val="20"/>
                <w:szCs w:val="20"/>
              </w:rPr>
            </w:pPr>
            <w:r>
              <w:rPr>
                <w:rFonts w:ascii="Arial" w:eastAsia="Times New Roman" w:hAnsi="Arial" w:cs="Arial"/>
                <w:b/>
                <w:bCs/>
                <w:sz w:val="20"/>
                <w:szCs w:val="20"/>
                <w:lang w:val="pt"/>
              </w:rPr>
              <w:t>Intervenção/Atividade</w:t>
            </w:r>
          </w:p>
        </w:tc>
        <w:tc>
          <w:tcPr>
            <w:tcW w:w="2250" w:type="dxa"/>
            <w:shd w:val="clear" w:color="auto" w:fill="D9E2F3" w:themeFill="accent5" w:themeFillTint="33"/>
          </w:tcPr>
          <w:p w14:paraId="042320A7" w14:textId="77777777" w:rsidR="004C214E" w:rsidRPr="002724D9" w:rsidRDefault="004C214E">
            <w:pPr>
              <w:spacing w:line="242" w:lineRule="atLeast"/>
              <w:jc w:val="center"/>
              <w:rPr>
                <w:rFonts w:ascii="Arial" w:eastAsia="Times New Roman" w:hAnsi="Arial" w:cs="Arial"/>
                <w:b/>
                <w:bCs/>
                <w:sz w:val="20"/>
                <w:szCs w:val="20"/>
                <w:lang w:val="pt-BR"/>
              </w:rPr>
            </w:pPr>
            <w:r>
              <w:rPr>
                <w:rFonts w:ascii="Arial" w:eastAsia="Times New Roman" w:hAnsi="Arial" w:cs="Arial"/>
                <w:b/>
                <w:bCs/>
                <w:sz w:val="20"/>
                <w:szCs w:val="20"/>
                <w:lang w:val="pt"/>
              </w:rPr>
              <w:t xml:space="preserve">Compromisso total de financiamento interno de 3 anos para o período de atribuição de 2023-2025 </w:t>
            </w:r>
            <w:r>
              <w:rPr>
                <w:rFonts w:ascii="Arial" w:eastAsia="Times New Roman" w:hAnsi="Arial" w:cs="Arial"/>
                <w:b/>
                <w:bCs/>
                <w:sz w:val="20"/>
                <w:szCs w:val="20"/>
                <w:highlight w:val="yellow"/>
                <w:lang w:val="pt"/>
              </w:rPr>
              <w:t>(USD/€)</w:t>
            </w:r>
          </w:p>
        </w:tc>
        <w:tc>
          <w:tcPr>
            <w:tcW w:w="2430" w:type="dxa"/>
            <w:shd w:val="clear" w:color="auto" w:fill="D9E2F3" w:themeFill="accent5" w:themeFillTint="33"/>
          </w:tcPr>
          <w:p w14:paraId="042320A8" w14:textId="77777777" w:rsidR="004C214E" w:rsidRPr="002724D9" w:rsidRDefault="004C214E">
            <w:pPr>
              <w:spacing w:line="242" w:lineRule="atLeast"/>
              <w:jc w:val="center"/>
              <w:rPr>
                <w:rFonts w:ascii="Arial" w:eastAsia="Times New Roman" w:hAnsi="Arial" w:cs="Arial"/>
                <w:b/>
                <w:bCs/>
                <w:sz w:val="20"/>
                <w:szCs w:val="20"/>
                <w:lang w:val="pt-BR"/>
              </w:rPr>
            </w:pPr>
            <w:r>
              <w:rPr>
                <w:rFonts w:ascii="Arial" w:eastAsia="Times New Roman" w:hAnsi="Arial" w:cs="Arial"/>
                <w:b/>
                <w:bCs/>
                <w:sz w:val="20"/>
                <w:szCs w:val="20"/>
                <w:lang w:val="pt"/>
              </w:rPr>
              <w:t xml:space="preserve">Compromisso adicional do período de atribuição de 2023-2025 acima do montante do período de atribuição de 2020-2022 </w:t>
            </w:r>
            <w:r>
              <w:rPr>
                <w:rFonts w:ascii="Arial" w:eastAsia="Times New Roman" w:hAnsi="Arial" w:cs="Arial"/>
                <w:b/>
                <w:bCs/>
                <w:sz w:val="20"/>
                <w:szCs w:val="20"/>
                <w:highlight w:val="yellow"/>
                <w:lang w:val="pt"/>
              </w:rPr>
              <w:t>(USD/€)</w:t>
            </w:r>
          </w:p>
        </w:tc>
        <w:tc>
          <w:tcPr>
            <w:tcW w:w="1800" w:type="dxa"/>
            <w:shd w:val="clear" w:color="auto" w:fill="D9E2F3" w:themeFill="accent5" w:themeFillTint="33"/>
          </w:tcPr>
          <w:p w14:paraId="042320A9" w14:textId="77777777" w:rsidR="004C214E" w:rsidRPr="002724D9" w:rsidRDefault="004C214E">
            <w:pPr>
              <w:spacing w:line="242" w:lineRule="atLeast"/>
              <w:jc w:val="center"/>
              <w:rPr>
                <w:rFonts w:ascii="Arial" w:eastAsia="Times New Roman" w:hAnsi="Arial" w:cs="Arial"/>
                <w:b/>
                <w:bCs/>
                <w:sz w:val="20"/>
                <w:szCs w:val="20"/>
                <w:lang w:val="pt-BR"/>
              </w:rPr>
            </w:pPr>
            <w:r>
              <w:rPr>
                <w:rFonts w:ascii="Arial" w:eastAsia="Times New Roman" w:hAnsi="Arial" w:cs="Arial"/>
                <w:b/>
                <w:bCs/>
                <w:sz w:val="20"/>
                <w:szCs w:val="20"/>
                <w:lang w:val="pt"/>
              </w:rPr>
              <w:t>Fonte de informação para monitorização e verificação</w:t>
            </w:r>
          </w:p>
        </w:tc>
      </w:tr>
      <w:tr w:rsidR="004C214E" w:rsidRPr="005E4CF7" w14:paraId="042320B0" w14:textId="77777777" w:rsidTr="004C214E">
        <w:tc>
          <w:tcPr>
            <w:tcW w:w="1165" w:type="dxa"/>
            <w:vMerge w:val="restart"/>
          </w:tcPr>
          <w:p w14:paraId="042320AB" w14:textId="77777777" w:rsidR="004C214E" w:rsidRPr="005E4CF7" w:rsidRDefault="004C214E">
            <w:pPr>
              <w:spacing w:line="242" w:lineRule="atLeast"/>
              <w:rPr>
                <w:rFonts w:ascii="Arial" w:eastAsia="Times New Roman" w:hAnsi="Arial" w:cs="Arial"/>
                <w:sz w:val="20"/>
                <w:szCs w:val="20"/>
              </w:rPr>
            </w:pPr>
            <w:r>
              <w:rPr>
                <w:rFonts w:ascii="Arial" w:eastAsia="Times New Roman" w:hAnsi="Arial" w:cs="Arial"/>
                <w:sz w:val="20"/>
                <w:szCs w:val="20"/>
                <w:lang w:val="pt"/>
              </w:rPr>
              <w:t>VIH</w:t>
            </w:r>
          </w:p>
        </w:tc>
        <w:tc>
          <w:tcPr>
            <w:tcW w:w="2790" w:type="dxa"/>
          </w:tcPr>
          <w:p w14:paraId="042320AC" w14:textId="77777777" w:rsidR="004C214E" w:rsidRPr="003C05B9" w:rsidRDefault="004C214E">
            <w:pPr>
              <w:spacing w:line="242" w:lineRule="atLeast"/>
              <w:rPr>
                <w:rFonts w:ascii="Arial" w:eastAsia="Times New Roman" w:hAnsi="Arial" w:cs="Arial"/>
                <w:i/>
                <w:iCs/>
                <w:sz w:val="20"/>
                <w:szCs w:val="20"/>
              </w:rPr>
            </w:pPr>
          </w:p>
        </w:tc>
        <w:tc>
          <w:tcPr>
            <w:tcW w:w="2250" w:type="dxa"/>
          </w:tcPr>
          <w:p w14:paraId="042320AD"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AE" w14:textId="77777777" w:rsidR="004C214E" w:rsidRPr="005E4CF7" w:rsidRDefault="004C214E" w:rsidP="004B4E4D">
            <w:pPr>
              <w:spacing w:line="242" w:lineRule="atLeast"/>
              <w:jc w:val="right"/>
              <w:rPr>
                <w:rFonts w:ascii="Arial" w:eastAsia="Times New Roman" w:hAnsi="Arial" w:cs="Arial"/>
                <w:sz w:val="20"/>
                <w:szCs w:val="20"/>
              </w:rPr>
            </w:pPr>
          </w:p>
        </w:tc>
        <w:tc>
          <w:tcPr>
            <w:tcW w:w="1800" w:type="dxa"/>
          </w:tcPr>
          <w:p w14:paraId="042320AF"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B6" w14:textId="77777777" w:rsidTr="004C214E">
        <w:tc>
          <w:tcPr>
            <w:tcW w:w="1165" w:type="dxa"/>
            <w:vMerge/>
          </w:tcPr>
          <w:p w14:paraId="042320B1"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B2"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B3"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B4"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B5"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BC" w14:textId="77777777" w:rsidTr="004C214E">
        <w:tc>
          <w:tcPr>
            <w:tcW w:w="1165" w:type="dxa"/>
            <w:vMerge/>
          </w:tcPr>
          <w:p w14:paraId="042320B7"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B8"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B9"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BA"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BB"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C2" w14:textId="77777777" w:rsidTr="004C214E">
        <w:tc>
          <w:tcPr>
            <w:tcW w:w="1165" w:type="dxa"/>
            <w:vMerge w:val="restart"/>
          </w:tcPr>
          <w:p w14:paraId="042320BD" w14:textId="77777777" w:rsidR="004C214E" w:rsidRPr="005E4CF7" w:rsidRDefault="004C214E">
            <w:pPr>
              <w:spacing w:line="242" w:lineRule="atLeast"/>
              <w:rPr>
                <w:rFonts w:ascii="Arial" w:eastAsia="Times New Roman" w:hAnsi="Arial" w:cs="Arial"/>
                <w:sz w:val="20"/>
                <w:szCs w:val="20"/>
              </w:rPr>
            </w:pPr>
            <w:r>
              <w:rPr>
                <w:rFonts w:ascii="Arial" w:eastAsia="Times New Roman" w:hAnsi="Arial" w:cs="Arial"/>
                <w:sz w:val="20"/>
                <w:szCs w:val="20"/>
                <w:lang w:val="pt"/>
              </w:rPr>
              <w:t>TB</w:t>
            </w:r>
          </w:p>
        </w:tc>
        <w:tc>
          <w:tcPr>
            <w:tcW w:w="2790" w:type="dxa"/>
          </w:tcPr>
          <w:p w14:paraId="042320BE"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BF"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C0"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C1"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C8" w14:textId="77777777" w:rsidTr="004C214E">
        <w:tc>
          <w:tcPr>
            <w:tcW w:w="1165" w:type="dxa"/>
            <w:vMerge/>
          </w:tcPr>
          <w:p w14:paraId="042320C3"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C4"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C5"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C6"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C7"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CE" w14:textId="77777777" w:rsidTr="004C214E">
        <w:tc>
          <w:tcPr>
            <w:tcW w:w="1165" w:type="dxa"/>
            <w:vMerge/>
          </w:tcPr>
          <w:p w14:paraId="042320C9"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CA"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CB"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CC"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CD"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D4" w14:textId="77777777" w:rsidTr="004C214E">
        <w:tc>
          <w:tcPr>
            <w:tcW w:w="1165" w:type="dxa"/>
            <w:vMerge w:val="restart"/>
          </w:tcPr>
          <w:p w14:paraId="042320CF" w14:textId="77777777" w:rsidR="004C214E" w:rsidRPr="005E4CF7" w:rsidRDefault="004C214E">
            <w:pPr>
              <w:spacing w:line="242" w:lineRule="atLeast"/>
              <w:rPr>
                <w:rFonts w:ascii="Arial" w:eastAsia="Times New Roman" w:hAnsi="Arial" w:cs="Arial"/>
                <w:sz w:val="20"/>
                <w:szCs w:val="20"/>
              </w:rPr>
            </w:pPr>
            <w:r>
              <w:rPr>
                <w:rFonts w:ascii="Arial" w:eastAsia="Times New Roman" w:hAnsi="Arial" w:cs="Arial"/>
                <w:sz w:val="20"/>
                <w:szCs w:val="20"/>
                <w:lang w:val="pt"/>
              </w:rPr>
              <w:t>Malária</w:t>
            </w:r>
          </w:p>
        </w:tc>
        <w:tc>
          <w:tcPr>
            <w:tcW w:w="2790" w:type="dxa"/>
          </w:tcPr>
          <w:p w14:paraId="042320D0"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D1"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D2"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D3"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DA" w14:textId="77777777" w:rsidTr="004C214E">
        <w:tc>
          <w:tcPr>
            <w:tcW w:w="1165" w:type="dxa"/>
            <w:vMerge/>
          </w:tcPr>
          <w:p w14:paraId="042320D5"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D6"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D7"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D8"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D9"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E0" w14:textId="77777777" w:rsidTr="004C214E">
        <w:tc>
          <w:tcPr>
            <w:tcW w:w="1165" w:type="dxa"/>
            <w:vMerge/>
          </w:tcPr>
          <w:p w14:paraId="042320DB"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DC"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DD"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DE"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DF"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E6" w14:textId="77777777" w:rsidTr="004C214E">
        <w:tc>
          <w:tcPr>
            <w:tcW w:w="1165" w:type="dxa"/>
            <w:vMerge w:val="restart"/>
          </w:tcPr>
          <w:p w14:paraId="042320E1" w14:textId="77777777" w:rsidR="004C214E" w:rsidRPr="005E4CF7" w:rsidRDefault="004C214E">
            <w:pPr>
              <w:spacing w:line="242" w:lineRule="atLeast"/>
              <w:rPr>
                <w:rFonts w:ascii="Arial" w:eastAsia="Times New Roman" w:hAnsi="Arial" w:cs="Arial"/>
                <w:sz w:val="20"/>
                <w:szCs w:val="20"/>
              </w:rPr>
            </w:pPr>
            <w:r>
              <w:rPr>
                <w:rFonts w:ascii="Arial" w:eastAsia="Times New Roman" w:hAnsi="Arial" w:cs="Arial"/>
                <w:sz w:val="20"/>
                <w:szCs w:val="20"/>
                <w:lang w:val="pt"/>
              </w:rPr>
              <w:t>SSRS</w:t>
            </w:r>
          </w:p>
        </w:tc>
        <w:tc>
          <w:tcPr>
            <w:tcW w:w="2790" w:type="dxa"/>
          </w:tcPr>
          <w:p w14:paraId="042320E2"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E3"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E4"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E5"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EC" w14:textId="77777777" w:rsidTr="004C214E">
        <w:tc>
          <w:tcPr>
            <w:tcW w:w="1165" w:type="dxa"/>
            <w:vMerge/>
          </w:tcPr>
          <w:p w14:paraId="042320E7"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E8"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E9"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EA"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EB" w14:textId="77777777" w:rsidR="004C214E" w:rsidRPr="005E4CF7" w:rsidRDefault="004C214E">
            <w:pPr>
              <w:spacing w:line="242" w:lineRule="atLeast"/>
              <w:rPr>
                <w:rFonts w:ascii="Arial" w:eastAsia="Times New Roman" w:hAnsi="Arial" w:cs="Arial"/>
                <w:sz w:val="20"/>
                <w:szCs w:val="20"/>
              </w:rPr>
            </w:pPr>
          </w:p>
        </w:tc>
      </w:tr>
      <w:tr w:rsidR="004C214E" w:rsidRPr="005E4CF7" w14:paraId="042320F2" w14:textId="77777777" w:rsidTr="004C214E">
        <w:tc>
          <w:tcPr>
            <w:tcW w:w="1165" w:type="dxa"/>
            <w:vMerge/>
          </w:tcPr>
          <w:p w14:paraId="042320ED" w14:textId="77777777" w:rsidR="004C214E" w:rsidRPr="005E4CF7" w:rsidRDefault="004C214E">
            <w:pPr>
              <w:spacing w:line="242" w:lineRule="atLeast"/>
              <w:rPr>
                <w:rFonts w:ascii="Arial" w:eastAsia="Times New Roman" w:hAnsi="Arial" w:cs="Arial"/>
                <w:sz w:val="20"/>
                <w:szCs w:val="20"/>
              </w:rPr>
            </w:pPr>
          </w:p>
        </w:tc>
        <w:tc>
          <w:tcPr>
            <w:tcW w:w="2790" w:type="dxa"/>
          </w:tcPr>
          <w:p w14:paraId="042320EE" w14:textId="77777777" w:rsidR="004C214E" w:rsidRPr="005E4CF7" w:rsidRDefault="004C214E">
            <w:pPr>
              <w:spacing w:line="242" w:lineRule="atLeast"/>
              <w:rPr>
                <w:rFonts w:ascii="Arial" w:eastAsia="Times New Roman" w:hAnsi="Arial" w:cs="Arial"/>
                <w:sz w:val="20"/>
                <w:szCs w:val="20"/>
              </w:rPr>
            </w:pPr>
          </w:p>
        </w:tc>
        <w:tc>
          <w:tcPr>
            <w:tcW w:w="2250" w:type="dxa"/>
          </w:tcPr>
          <w:p w14:paraId="042320EF" w14:textId="77777777" w:rsidR="004C214E" w:rsidRPr="005E4CF7" w:rsidRDefault="004C214E">
            <w:pPr>
              <w:spacing w:line="242" w:lineRule="atLeast"/>
              <w:rPr>
                <w:rFonts w:ascii="Arial" w:eastAsia="Times New Roman" w:hAnsi="Arial" w:cs="Arial"/>
                <w:sz w:val="20"/>
                <w:szCs w:val="20"/>
              </w:rPr>
            </w:pPr>
          </w:p>
        </w:tc>
        <w:tc>
          <w:tcPr>
            <w:tcW w:w="2430" w:type="dxa"/>
          </w:tcPr>
          <w:p w14:paraId="042320F0" w14:textId="77777777" w:rsidR="004C214E" w:rsidRPr="005E4CF7" w:rsidRDefault="004C214E">
            <w:pPr>
              <w:spacing w:line="242" w:lineRule="atLeast"/>
              <w:rPr>
                <w:rFonts w:ascii="Arial" w:eastAsia="Times New Roman" w:hAnsi="Arial" w:cs="Arial"/>
                <w:sz w:val="20"/>
                <w:szCs w:val="20"/>
              </w:rPr>
            </w:pPr>
          </w:p>
        </w:tc>
        <w:tc>
          <w:tcPr>
            <w:tcW w:w="1800" w:type="dxa"/>
          </w:tcPr>
          <w:p w14:paraId="042320F1" w14:textId="77777777" w:rsidR="004C214E" w:rsidRPr="005E4CF7" w:rsidRDefault="004C214E">
            <w:pPr>
              <w:spacing w:line="242" w:lineRule="atLeast"/>
              <w:rPr>
                <w:rFonts w:ascii="Arial" w:eastAsia="Times New Roman" w:hAnsi="Arial" w:cs="Arial"/>
                <w:sz w:val="20"/>
                <w:szCs w:val="20"/>
              </w:rPr>
            </w:pPr>
          </w:p>
        </w:tc>
      </w:tr>
    </w:tbl>
    <w:p w14:paraId="042320F3" w14:textId="77777777" w:rsidR="00B92521" w:rsidRDefault="00B92521">
      <w:pPr>
        <w:spacing w:after="160" w:line="259" w:lineRule="auto"/>
        <w:rPr>
          <w:rFonts w:ascii="Arial" w:eastAsia="Times New Roman" w:hAnsi="Arial" w:cs="Arial"/>
          <w:b/>
          <w:bCs/>
          <w:sz w:val="24"/>
          <w:szCs w:val="24"/>
        </w:rPr>
      </w:pPr>
    </w:p>
    <w:p w14:paraId="19742154" w14:textId="77777777" w:rsidR="00097CE6" w:rsidRDefault="00097CE6">
      <w:pPr>
        <w:spacing w:after="160" w:line="259" w:lineRule="auto"/>
        <w:rPr>
          <w:rFonts w:ascii="Arial" w:eastAsia="Times New Roman" w:hAnsi="Arial" w:cs="Arial"/>
          <w:b/>
          <w:bCs/>
          <w:sz w:val="24"/>
          <w:szCs w:val="24"/>
        </w:rPr>
      </w:pPr>
    </w:p>
    <w:p w14:paraId="0C9DC61F" w14:textId="77777777" w:rsidR="00097CE6" w:rsidRDefault="00097CE6">
      <w:pPr>
        <w:spacing w:after="160" w:line="259" w:lineRule="auto"/>
        <w:rPr>
          <w:rFonts w:ascii="Arial" w:eastAsia="Times New Roman" w:hAnsi="Arial" w:cs="Arial"/>
          <w:b/>
          <w:bCs/>
          <w:sz w:val="24"/>
          <w:szCs w:val="24"/>
        </w:rPr>
      </w:pPr>
    </w:p>
    <w:p w14:paraId="1F91DDF9" w14:textId="77777777" w:rsidR="00097CE6" w:rsidRDefault="00097CE6">
      <w:pPr>
        <w:spacing w:after="160" w:line="259" w:lineRule="auto"/>
        <w:rPr>
          <w:rFonts w:ascii="Arial" w:eastAsia="Times New Roman" w:hAnsi="Arial" w:cs="Arial"/>
          <w:b/>
          <w:bCs/>
          <w:sz w:val="24"/>
          <w:szCs w:val="24"/>
        </w:rPr>
      </w:pPr>
    </w:p>
    <w:p w14:paraId="042320F4" w14:textId="77777777" w:rsidR="00C266C6" w:rsidRPr="0043181F" w:rsidRDefault="00C266C6" w:rsidP="0043181F">
      <w:pPr>
        <w:pStyle w:val="ListParagraph"/>
        <w:numPr>
          <w:ilvl w:val="0"/>
          <w:numId w:val="10"/>
        </w:numPr>
        <w:spacing w:line="242" w:lineRule="atLeast"/>
        <w:rPr>
          <w:rFonts w:ascii="Arial" w:hAnsi="Arial" w:cs="Arial"/>
          <w:b/>
          <w:bCs/>
        </w:rPr>
      </w:pPr>
      <w:r>
        <w:rPr>
          <w:rFonts w:ascii="Arial" w:hAnsi="Arial" w:cs="Arial"/>
          <w:b/>
          <w:bCs/>
          <w:lang w:val="pt"/>
        </w:rPr>
        <w:lastRenderedPageBreak/>
        <w:t>Monitorização e elaboração de relatórios</w:t>
      </w:r>
    </w:p>
    <w:p w14:paraId="042320F5" w14:textId="77777777" w:rsidR="00C266C6" w:rsidRPr="002724D9" w:rsidRDefault="007700A7" w:rsidP="00AA2250">
      <w:pPr>
        <w:spacing w:line="242" w:lineRule="atLeast"/>
        <w:rPr>
          <w:rFonts w:ascii="Arial" w:hAnsi="Arial" w:cs="Arial"/>
          <w:lang w:val="pt-BR"/>
        </w:rPr>
      </w:pPr>
      <w:r>
        <w:rPr>
          <w:rFonts w:ascii="Arial" w:hAnsi="Arial" w:cs="Arial"/>
          <w:lang w:val="pt"/>
        </w:rPr>
        <w:t>Comprometemo-nos ainda a fornecer ao Fundo Global documentos e evidências verificáveis e fiáveis sobre as despesas dos fundos nacionais ou, caso os montantes das despesas não estejam ainda disponíveis, os últimos montantes orçamentados, a partir do seguinte:</w:t>
      </w:r>
    </w:p>
    <w:p w14:paraId="042320F6" w14:textId="77777777" w:rsidR="00DF58EF" w:rsidRPr="002724D9" w:rsidRDefault="00C266C6" w:rsidP="00403C50">
      <w:pPr>
        <w:pStyle w:val="ListParagraph"/>
        <w:numPr>
          <w:ilvl w:val="0"/>
          <w:numId w:val="7"/>
        </w:numPr>
        <w:spacing w:before="120" w:beforeAutospacing="0" w:line="242" w:lineRule="atLeast"/>
        <w:ind w:left="714" w:hanging="357"/>
        <w:rPr>
          <w:rFonts w:ascii="Arial" w:hAnsi="Arial" w:cs="Arial"/>
          <w:sz w:val="22"/>
          <w:szCs w:val="22"/>
          <w:lang w:val="pt-BR"/>
        </w:rPr>
      </w:pPr>
      <w:r>
        <w:rPr>
          <w:rFonts w:ascii="Arial" w:hAnsi="Arial" w:cs="Arial"/>
          <w:sz w:val="22"/>
          <w:szCs w:val="22"/>
          <w:lang w:val="pt"/>
        </w:rPr>
        <w:t xml:space="preserve">Para despesas passadas: </w:t>
      </w:r>
      <w:r>
        <w:rPr>
          <w:rFonts w:ascii="Arial" w:hAnsi="Arial" w:cs="Arial"/>
          <w:sz w:val="22"/>
          <w:szCs w:val="22"/>
          <w:highlight w:val="yellow"/>
          <w:lang w:val="pt"/>
        </w:rPr>
        <w:t>[</w:t>
      </w:r>
      <w:r>
        <w:rPr>
          <w:rFonts w:ascii="Arial" w:hAnsi="Arial" w:cs="Arial"/>
          <w:i/>
          <w:iCs/>
          <w:sz w:val="22"/>
          <w:szCs w:val="22"/>
          <w:highlight w:val="yellow"/>
          <w:lang w:val="pt"/>
        </w:rPr>
        <w:t>Exemplos ilustrativos</w:t>
      </w:r>
      <w:r>
        <w:rPr>
          <w:rFonts w:ascii="Arial" w:hAnsi="Arial" w:cs="Arial"/>
          <w:sz w:val="22"/>
          <w:szCs w:val="22"/>
          <w:highlight w:val="yellow"/>
          <w:lang w:val="pt"/>
        </w:rPr>
        <w:t>: execução do orçamento/relatórios de despesas em relação às atribuições ou rubricas orçamentais e atividades claramente relacionadas com os compromissos, registos de aprovisionamento etc.]</w:t>
      </w:r>
    </w:p>
    <w:p w14:paraId="042320F7" w14:textId="77777777" w:rsidR="003D1AA1" w:rsidRPr="002724D9" w:rsidRDefault="00C266C6" w:rsidP="00F96E51">
      <w:pPr>
        <w:pStyle w:val="ListParagraph"/>
        <w:numPr>
          <w:ilvl w:val="0"/>
          <w:numId w:val="7"/>
        </w:numPr>
        <w:spacing w:before="120" w:beforeAutospacing="0" w:line="242" w:lineRule="atLeast"/>
        <w:ind w:left="714" w:hanging="357"/>
        <w:rPr>
          <w:rFonts w:ascii="Arial" w:hAnsi="Arial" w:cs="Arial"/>
          <w:sz w:val="22"/>
          <w:szCs w:val="22"/>
          <w:lang w:val="pt-BR"/>
        </w:rPr>
      </w:pPr>
      <w:r>
        <w:rPr>
          <w:rFonts w:ascii="Arial" w:hAnsi="Arial" w:cs="Arial"/>
          <w:sz w:val="22"/>
          <w:szCs w:val="22"/>
          <w:lang w:val="pt"/>
        </w:rPr>
        <w:t xml:space="preserve">Para futuras despesas planeadas: </w:t>
      </w:r>
      <w:r>
        <w:rPr>
          <w:rFonts w:ascii="Arial" w:hAnsi="Arial" w:cs="Arial"/>
          <w:sz w:val="22"/>
          <w:szCs w:val="22"/>
          <w:highlight w:val="yellow"/>
          <w:lang w:val="pt"/>
        </w:rPr>
        <w:t>[</w:t>
      </w:r>
      <w:r>
        <w:rPr>
          <w:rFonts w:ascii="Arial" w:hAnsi="Arial" w:cs="Arial"/>
          <w:i/>
          <w:iCs/>
          <w:sz w:val="22"/>
          <w:szCs w:val="22"/>
          <w:highlight w:val="yellow"/>
          <w:lang w:val="pt"/>
        </w:rPr>
        <w:t>Exemplos ilustrativos</w:t>
      </w:r>
      <w:r>
        <w:rPr>
          <w:rFonts w:ascii="Arial" w:hAnsi="Arial" w:cs="Arial"/>
          <w:sz w:val="22"/>
          <w:szCs w:val="22"/>
          <w:highlight w:val="yellow"/>
          <w:lang w:val="pt"/>
        </w:rPr>
        <w:t>: orçamentos oficialmente publicados, quadros de despesas a médio prazo, relatórios de quantificação ou planos de aprovisionamento de produtos etc.]</w:t>
      </w:r>
    </w:p>
    <w:p w14:paraId="042320F8" w14:textId="77777777" w:rsidR="00D73717" w:rsidRPr="002724D9" w:rsidRDefault="004C144A" w:rsidP="002D3AE6">
      <w:pPr>
        <w:spacing w:before="120" w:line="242" w:lineRule="atLeast"/>
        <w:rPr>
          <w:rFonts w:ascii="Arial" w:hAnsi="Arial" w:cs="Arial"/>
          <w:lang w:val="pt-BR"/>
        </w:rPr>
      </w:pPr>
      <w:r>
        <w:rPr>
          <w:rFonts w:ascii="Arial" w:hAnsi="Arial" w:cs="Arial"/>
          <w:lang w:val="pt"/>
        </w:rPr>
        <w:t xml:space="preserve">Iremos recolher e comunicar </w:t>
      </w:r>
      <w:r>
        <w:rPr>
          <w:rFonts w:ascii="Arial" w:hAnsi="Arial" w:cs="Arial"/>
          <w:highlight w:val="yellow"/>
          <w:lang w:val="pt"/>
        </w:rPr>
        <w:t>anualmente</w:t>
      </w:r>
      <w:r>
        <w:rPr>
          <w:rFonts w:ascii="Arial" w:hAnsi="Arial" w:cs="Arial"/>
          <w:lang w:val="pt"/>
        </w:rPr>
        <w:t xml:space="preserve"> os dados orçamentais e das despesas ao Fundo Global em relação a estes compromissos. Todos os anos, na data </w:t>
      </w:r>
      <w:r>
        <w:rPr>
          <w:rFonts w:ascii="Arial" w:hAnsi="Arial" w:cs="Arial"/>
          <w:highlight w:val="yellow"/>
          <w:lang w:val="pt"/>
        </w:rPr>
        <w:t>XXX</w:t>
      </w:r>
      <w:r>
        <w:rPr>
          <w:rFonts w:ascii="Arial" w:hAnsi="Arial" w:cs="Arial"/>
          <w:lang w:val="pt"/>
        </w:rPr>
        <w:t xml:space="preserve">, apresentaremos um relatório de cofinanciamento ao Fundo Global, que cobre o período anual que começa em </w:t>
      </w:r>
      <w:r>
        <w:rPr>
          <w:rFonts w:ascii="Arial" w:hAnsi="Arial" w:cs="Arial"/>
          <w:highlight w:val="yellow"/>
          <w:lang w:val="pt"/>
        </w:rPr>
        <w:t>YYY</w:t>
      </w:r>
      <w:r>
        <w:rPr>
          <w:rFonts w:ascii="Arial" w:hAnsi="Arial" w:cs="Arial"/>
          <w:lang w:val="pt"/>
        </w:rPr>
        <w:t xml:space="preserve"> e termina em </w:t>
      </w:r>
      <w:r>
        <w:rPr>
          <w:rFonts w:ascii="Arial" w:hAnsi="Arial" w:cs="Arial"/>
          <w:highlight w:val="yellow"/>
          <w:lang w:val="pt"/>
        </w:rPr>
        <w:t>ZZZ</w:t>
      </w:r>
      <w:r>
        <w:rPr>
          <w:rFonts w:ascii="Arial" w:hAnsi="Arial" w:cs="Arial"/>
          <w:lang w:val="pt"/>
        </w:rPr>
        <w:t xml:space="preserve">. O calendário de elaboração de relatórios está definido na tabela abaixo. </w:t>
      </w:r>
    </w:p>
    <w:p w14:paraId="042320FB" w14:textId="77777777" w:rsidR="00EF0E1A" w:rsidRPr="002724D9" w:rsidRDefault="00EF0E1A" w:rsidP="002D3AE6">
      <w:pPr>
        <w:spacing w:before="120" w:line="242" w:lineRule="atLeast"/>
        <w:rPr>
          <w:rFonts w:ascii="Arial" w:hAnsi="Arial" w:cs="Arial"/>
          <w:lang w:val="pt-BR"/>
        </w:rPr>
      </w:pPr>
    </w:p>
    <w:p w14:paraId="042320FC" w14:textId="77777777" w:rsidR="006F72AE" w:rsidRPr="002724D9" w:rsidRDefault="00D1048C" w:rsidP="002D3AE6">
      <w:pPr>
        <w:spacing w:before="120" w:line="242" w:lineRule="atLeast"/>
        <w:rPr>
          <w:rFonts w:ascii="Arial" w:hAnsi="Arial" w:cs="Arial"/>
          <w:lang w:val="pt-BR"/>
        </w:rPr>
      </w:pPr>
      <w:r>
        <w:rPr>
          <w:rFonts w:ascii="Arial" w:hAnsi="Arial" w:cs="Arial"/>
          <w:b/>
          <w:bCs/>
          <w:lang w:val="pt"/>
        </w:rPr>
        <w:t>Monitorização e elaboração de relatórios de cofinanciamento para o período de atribuição de 2023-2025 (</w:t>
      </w:r>
      <w:r>
        <w:rPr>
          <w:rFonts w:ascii="Arial" w:hAnsi="Arial" w:cs="Arial"/>
          <w:b/>
          <w:bCs/>
          <w:i/>
          <w:iCs/>
          <w:lang w:val="pt"/>
        </w:rPr>
        <w:t>exemplo ilustrativo</w:t>
      </w:r>
      <w:r>
        <w:rPr>
          <w:rFonts w:ascii="Arial" w:hAnsi="Arial" w:cs="Arial"/>
          <w:b/>
          <w:bCs/>
          <w:lang w:val="pt"/>
        </w:rPr>
        <w:t>)</w:t>
      </w:r>
    </w:p>
    <w:p w14:paraId="042320FD" w14:textId="77777777" w:rsidR="00D1048C" w:rsidRPr="002724D9" w:rsidRDefault="00D1048C" w:rsidP="002D3AE6">
      <w:pPr>
        <w:spacing w:before="120" w:line="242" w:lineRule="atLeast"/>
        <w:rPr>
          <w:rFonts w:ascii="Arial" w:hAnsi="Arial" w:cs="Arial"/>
          <w:lang w:val="pt-BR"/>
        </w:rPr>
      </w:pP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5246"/>
      </w:tblGrid>
      <w:tr w:rsidR="00B64222" w:rsidRPr="00645766" w14:paraId="04232100"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042320FE" w14:textId="77777777" w:rsidR="002D3AE6" w:rsidRPr="00D73717" w:rsidRDefault="002D3AE6" w:rsidP="00B64222">
            <w:pPr>
              <w:spacing w:before="120" w:line="242" w:lineRule="atLeast"/>
              <w:rPr>
                <w:rFonts w:ascii="Arial" w:hAnsi="Arial" w:cs="Arial"/>
                <w:b/>
                <w:bCs/>
                <w:sz w:val="20"/>
                <w:szCs w:val="20"/>
              </w:rPr>
            </w:pPr>
            <w:r>
              <w:rPr>
                <w:rFonts w:ascii="Arial" w:hAnsi="Arial" w:cs="Arial"/>
                <w:b/>
                <w:bCs/>
                <w:sz w:val="20"/>
                <w:szCs w:val="20"/>
                <w:lang w:val="pt"/>
              </w:rPr>
              <w:t>Data</w:t>
            </w:r>
          </w:p>
        </w:tc>
        <w:tc>
          <w:tcPr>
            <w:tcW w:w="5246"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042320FF" w14:textId="77777777" w:rsidR="002D3AE6" w:rsidRPr="00D73717" w:rsidRDefault="002D3AE6" w:rsidP="00B64222">
            <w:pPr>
              <w:spacing w:before="120" w:line="242" w:lineRule="atLeast"/>
              <w:rPr>
                <w:rFonts w:ascii="Arial" w:hAnsi="Arial" w:cs="Arial"/>
                <w:b/>
                <w:bCs/>
                <w:sz w:val="20"/>
                <w:szCs w:val="20"/>
              </w:rPr>
            </w:pPr>
            <w:r>
              <w:rPr>
                <w:rFonts w:ascii="Arial" w:hAnsi="Arial" w:cs="Arial"/>
                <w:b/>
                <w:bCs/>
                <w:sz w:val="20"/>
                <w:szCs w:val="20"/>
                <w:lang w:val="pt"/>
              </w:rPr>
              <w:t>Informação devida (ilustrativo)</w:t>
            </w:r>
          </w:p>
        </w:tc>
      </w:tr>
      <w:tr w:rsidR="00B64222" w:rsidRPr="00637EEF" w14:paraId="04232103"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1" w14:textId="77777777" w:rsidR="002D3AE6" w:rsidRPr="00D73717" w:rsidRDefault="006F72AE" w:rsidP="00B64222">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2" w14:textId="77777777" w:rsidR="002D3AE6" w:rsidRPr="002724D9" w:rsidRDefault="002D3AE6" w:rsidP="00B64222">
            <w:pPr>
              <w:spacing w:before="120" w:line="242" w:lineRule="atLeast"/>
              <w:rPr>
                <w:rFonts w:ascii="Arial" w:hAnsi="Arial" w:cs="Arial"/>
                <w:sz w:val="20"/>
                <w:szCs w:val="20"/>
                <w:lang w:val="pt-BR"/>
              </w:rPr>
            </w:pPr>
            <w:r>
              <w:rPr>
                <w:rFonts w:ascii="Arial" w:hAnsi="Arial" w:cs="Arial"/>
                <w:sz w:val="20"/>
                <w:szCs w:val="20"/>
                <w:lang w:val="pt"/>
              </w:rPr>
              <w:t>Orçamento de Estado oficialmente aprovado e relatório sobre a orçamentação dos compromissos do A1</w:t>
            </w:r>
          </w:p>
        </w:tc>
      </w:tr>
      <w:tr w:rsidR="00BC60C8" w:rsidRPr="00637EEF" w14:paraId="04232106"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4232104" w14:textId="77777777" w:rsidR="00BC60C8" w:rsidRPr="00D73717" w:rsidRDefault="00BC60C8" w:rsidP="00BC60C8">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5" w14:textId="77777777" w:rsidR="00BC60C8" w:rsidRPr="002724D9" w:rsidRDefault="00BC60C8" w:rsidP="00BC60C8">
            <w:pPr>
              <w:spacing w:before="120" w:line="242" w:lineRule="atLeast"/>
              <w:rPr>
                <w:rFonts w:ascii="Arial" w:hAnsi="Arial" w:cs="Arial"/>
                <w:sz w:val="20"/>
                <w:szCs w:val="20"/>
                <w:lang w:val="pt-BR"/>
              </w:rPr>
            </w:pPr>
            <w:r>
              <w:rPr>
                <w:rFonts w:ascii="Arial" w:hAnsi="Arial" w:cs="Arial"/>
                <w:sz w:val="20"/>
                <w:szCs w:val="20"/>
                <w:lang w:val="pt"/>
              </w:rPr>
              <w:t>Orçamento de Estado oficialmente aprovado e relatório sobre a orçamentação dos compromissos do A2</w:t>
            </w:r>
          </w:p>
        </w:tc>
      </w:tr>
      <w:tr w:rsidR="00BC60C8" w:rsidRPr="00637EEF" w14:paraId="04232109"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4232107" w14:textId="77777777" w:rsidR="00BC60C8" w:rsidRPr="00D73717" w:rsidRDefault="00BC60C8" w:rsidP="00BC60C8">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8" w14:textId="77777777" w:rsidR="00BC60C8" w:rsidRPr="002724D9" w:rsidRDefault="00BC60C8" w:rsidP="00BC60C8">
            <w:pPr>
              <w:spacing w:before="120" w:line="242" w:lineRule="atLeast"/>
              <w:rPr>
                <w:rFonts w:ascii="Arial" w:hAnsi="Arial" w:cs="Arial"/>
                <w:sz w:val="20"/>
                <w:szCs w:val="20"/>
                <w:lang w:val="pt-BR"/>
              </w:rPr>
            </w:pPr>
            <w:r>
              <w:rPr>
                <w:rFonts w:ascii="Arial" w:hAnsi="Arial" w:cs="Arial"/>
                <w:sz w:val="20"/>
                <w:szCs w:val="20"/>
                <w:lang w:val="pt"/>
              </w:rPr>
              <w:t>Relatório de monitorização do cofinanciamento sobre a execução dos compromissos do A1; Ordens de compra relacionadas com os compromissos programáticos</w:t>
            </w:r>
          </w:p>
        </w:tc>
      </w:tr>
      <w:tr w:rsidR="00BC60C8" w:rsidRPr="00637EEF" w14:paraId="0423210C"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423210A" w14:textId="77777777" w:rsidR="00BC60C8" w:rsidRPr="00D73717" w:rsidRDefault="00BC60C8" w:rsidP="00BC60C8">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B" w14:textId="77777777" w:rsidR="00BC60C8" w:rsidRPr="002724D9" w:rsidRDefault="00BC60C8" w:rsidP="00BC60C8">
            <w:pPr>
              <w:spacing w:before="120" w:line="242" w:lineRule="atLeast"/>
              <w:rPr>
                <w:rFonts w:ascii="Arial" w:hAnsi="Arial" w:cs="Arial"/>
                <w:sz w:val="20"/>
                <w:szCs w:val="20"/>
                <w:lang w:val="pt-BR"/>
              </w:rPr>
            </w:pPr>
            <w:r>
              <w:rPr>
                <w:rFonts w:ascii="Arial" w:hAnsi="Arial" w:cs="Arial"/>
                <w:sz w:val="20"/>
                <w:szCs w:val="20"/>
                <w:lang w:val="pt"/>
              </w:rPr>
              <w:t>Orçamento de Estado oficialmente aprovado e relatório sobre a orçamentação dos compromissos do A3</w:t>
            </w:r>
          </w:p>
        </w:tc>
      </w:tr>
      <w:tr w:rsidR="00BC60C8" w:rsidRPr="00637EEF" w14:paraId="0423210F"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423210D" w14:textId="77777777" w:rsidR="00BC60C8" w:rsidRPr="00D73717" w:rsidRDefault="00BC60C8" w:rsidP="00BC60C8">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0E" w14:textId="77777777" w:rsidR="00BC60C8" w:rsidRPr="002724D9" w:rsidRDefault="00BC60C8" w:rsidP="00BC60C8">
            <w:pPr>
              <w:spacing w:before="120" w:line="242" w:lineRule="atLeast"/>
              <w:rPr>
                <w:rFonts w:ascii="Arial" w:hAnsi="Arial" w:cs="Arial"/>
                <w:sz w:val="20"/>
                <w:szCs w:val="20"/>
                <w:lang w:val="pt-BR"/>
              </w:rPr>
            </w:pPr>
            <w:r>
              <w:rPr>
                <w:rFonts w:ascii="Arial" w:hAnsi="Arial" w:cs="Arial"/>
                <w:sz w:val="20"/>
                <w:szCs w:val="20"/>
                <w:lang w:val="pt"/>
              </w:rPr>
              <w:t>Relatório de monitorização do cofinanciamento sobre a execução dos compromissos do A2; Ordens de compra relacionadas com os compromissos programáticos</w:t>
            </w:r>
          </w:p>
        </w:tc>
      </w:tr>
      <w:tr w:rsidR="00BC60C8" w:rsidRPr="00637EEF" w14:paraId="04232112" w14:textId="77777777" w:rsidTr="00DA7332">
        <w:trPr>
          <w:trHeight w:val="10"/>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4232110" w14:textId="77777777" w:rsidR="00BC60C8" w:rsidRPr="00D73717" w:rsidRDefault="00BC60C8" w:rsidP="00BC60C8">
            <w:pPr>
              <w:spacing w:before="120" w:line="242" w:lineRule="atLeast"/>
              <w:rPr>
                <w:rFonts w:ascii="Arial" w:hAnsi="Arial" w:cs="Arial"/>
                <w:sz w:val="20"/>
                <w:szCs w:val="20"/>
              </w:rPr>
            </w:pPr>
            <w:r>
              <w:rPr>
                <w:rFonts w:ascii="Arial" w:hAnsi="Arial" w:cs="Arial"/>
                <w:sz w:val="20"/>
                <w:szCs w:val="20"/>
                <w:lang w:val="pt"/>
              </w:rPr>
              <w:t>Dia-Mês-Ano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32111" w14:textId="77777777" w:rsidR="00BC60C8" w:rsidRPr="002724D9" w:rsidRDefault="00BC60C8" w:rsidP="00BC60C8">
            <w:pPr>
              <w:spacing w:before="120" w:line="242" w:lineRule="atLeast"/>
              <w:rPr>
                <w:rFonts w:ascii="Arial" w:hAnsi="Arial" w:cs="Arial"/>
                <w:sz w:val="20"/>
                <w:szCs w:val="20"/>
                <w:lang w:val="pt-BR"/>
              </w:rPr>
            </w:pPr>
            <w:r>
              <w:rPr>
                <w:rFonts w:ascii="Arial" w:hAnsi="Arial" w:cs="Arial"/>
                <w:sz w:val="20"/>
                <w:szCs w:val="20"/>
                <w:lang w:val="pt"/>
              </w:rPr>
              <w:t>Relatório de monitorização do cofinanciamento sobre a execução dos compromissos do A3; Ordens de compra relacionadas com os compromissos programáticos</w:t>
            </w:r>
          </w:p>
        </w:tc>
      </w:tr>
    </w:tbl>
    <w:p w14:paraId="22D89E81" w14:textId="77777777" w:rsidR="00940B82" w:rsidRDefault="00940B82" w:rsidP="00940B82">
      <w:pPr>
        <w:rPr>
          <w:rFonts w:ascii="Arial" w:hAnsi="Arial" w:cs="Arial"/>
          <w:color w:val="000000"/>
          <w:lang w:val="pt"/>
        </w:rPr>
      </w:pPr>
    </w:p>
    <w:p w14:paraId="51412CE7" w14:textId="3B721691" w:rsidR="00B67AC5" w:rsidRPr="00940B82" w:rsidRDefault="00CF19A1" w:rsidP="00940B82">
      <w:pPr>
        <w:rPr>
          <w:rFonts w:ascii="Arial" w:hAnsi="Arial" w:cs="Arial"/>
          <w:color w:val="000000"/>
          <w:lang w:val="pt"/>
        </w:rPr>
      </w:pPr>
      <w:r w:rsidRPr="00940B82">
        <w:rPr>
          <w:rFonts w:ascii="Arial" w:hAnsi="Arial" w:cs="Arial"/>
          <w:color w:val="000000"/>
          <w:lang w:val="pt"/>
        </w:rPr>
        <w:t xml:space="preserve">Reconhecemos e aceitamos que o não cumprimento destes compromissos de cofinanciamento por parte de </w:t>
      </w:r>
      <w:r w:rsidRPr="000B7EF4">
        <w:rPr>
          <w:rFonts w:ascii="Arial" w:hAnsi="Arial" w:cs="Arial"/>
          <w:color w:val="000000"/>
          <w:highlight w:val="yellow"/>
          <w:lang w:val="pt"/>
        </w:rPr>
        <w:t>[país]</w:t>
      </w:r>
      <w:r w:rsidRPr="00940B82">
        <w:rPr>
          <w:rFonts w:ascii="Arial" w:hAnsi="Arial" w:cs="Arial"/>
          <w:color w:val="000000"/>
          <w:lang w:val="pt"/>
        </w:rPr>
        <w:t xml:space="preserve"> para o período de atribuição de 2023-2025 pode levar o Fundo Global a reduzir o financiamento da atribuição a partir das subvenções existentes e/ou das subvenções para o período de atribuição de 2026-2028 (se for o caso).</w:t>
      </w:r>
    </w:p>
    <w:p w14:paraId="752FAFAE" w14:textId="77777777" w:rsidR="00940B82" w:rsidRPr="00940B82" w:rsidRDefault="00940B82" w:rsidP="00940B82">
      <w:pPr>
        <w:rPr>
          <w:rFonts w:ascii="Arial" w:hAnsi="Arial" w:cs="Arial"/>
          <w:color w:val="000000"/>
          <w:lang w:val="pt"/>
        </w:rPr>
      </w:pPr>
    </w:p>
    <w:p w14:paraId="66893905" w14:textId="735CC420" w:rsidR="00940B82" w:rsidRPr="00940B82" w:rsidRDefault="00B67AC5" w:rsidP="00B67AC5">
      <w:pPr>
        <w:rPr>
          <w:rFonts w:ascii="Arial" w:hAnsi="Arial" w:cs="Arial"/>
          <w:color w:val="000000"/>
          <w:lang w:val="pt"/>
        </w:rPr>
      </w:pPr>
      <w:r w:rsidRPr="000F7277">
        <w:rPr>
          <w:rFonts w:ascii="Arial" w:hAnsi="Arial" w:cs="Arial"/>
          <w:color w:val="000000"/>
          <w:lang w:val="pt"/>
        </w:rPr>
        <w:t>Também reconhecemos e aceitamos que o Fundo Global tem o direito de publicar e/ou divulgar livremente o teor desta carta (incluindo todos os anexos) sem nenhuma restrição.</w:t>
      </w:r>
    </w:p>
    <w:p w14:paraId="04232114" w14:textId="77777777" w:rsidR="00DF30D3" w:rsidRPr="002724D9" w:rsidRDefault="00DF30D3" w:rsidP="00F96E51">
      <w:pPr>
        <w:spacing w:before="120" w:line="242" w:lineRule="atLeast"/>
        <w:rPr>
          <w:rFonts w:ascii="Arial" w:eastAsia="Times New Roman" w:hAnsi="Arial" w:cs="Arial"/>
          <w:lang w:val="pt-BR"/>
        </w:rPr>
      </w:pPr>
      <w:r>
        <w:rPr>
          <w:rFonts w:ascii="Arial" w:eastAsia="Times New Roman" w:hAnsi="Arial" w:cs="Arial"/>
          <w:lang w:val="pt"/>
        </w:rPr>
        <w:t>Além disso, continuaremos a trabalhar com a equipa de país do Fundo Global e com especialistas em finanças na saúde para avaliar as nossas concretizações até à data no cumprimento dos compromissos de cofinanciamento que prometemos cumprir no atual período de atribuição de 2020-2022.</w:t>
      </w:r>
    </w:p>
    <w:p w14:paraId="04232115" w14:textId="77777777" w:rsidR="00DF30D3" w:rsidRPr="002724D9" w:rsidRDefault="00DF30D3" w:rsidP="00F96E51">
      <w:pPr>
        <w:spacing w:before="120" w:line="242" w:lineRule="atLeast"/>
        <w:rPr>
          <w:rFonts w:ascii="Arial" w:hAnsi="Arial" w:cs="Arial"/>
          <w:lang w:val="pt-BR"/>
        </w:rPr>
      </w:pPr>
    </w:p>
    <w:p w14:paraId="04232116" w14:textId="77777777" w:rsidR="00632E1F" w:rsidRPr="002724D9" w:rsidRDefault="00E8739A" w:rsidP="00333D33">
      <w:pPr>
        <w:spacing w:line="242" w:lineRule="atLeast"/>
        <w:rPr>
          <w:rFonts w:ascii="Arial" w:eastAsia="Times New Roman" w:hAnsi="Arial" w:cs="Arial"/>
          <w:lang w:val="pt-BR"/>
        </w:rPr>
      </w:pPr>
      <w:r>
        <w:rPr>
          <w:rFonts w:ascii="Arial" w:eastAsia="Times New Roman" w:hAnsi="Arial" w:cs="Arial"/>
          <w:lang w:val="pt"/>
        </w:rPr>
        <w:t>Atentamente,</w:t>
      </w:r>
    </w:p>
    <w:p w14:paraId="04232117" w14:textId="77777777" w:rsidR="006F72AE" w:rsidRPr="002724D9" w:rsidRDefault="006F72AE" w:rsidP="00333D33">
      <w:pPr>
        <w:spacing w:line="242" w:lineRule="atLeast"/>
        <w:rPr>
          <w:rFonts w:ascii="Arial" w:eastAsia="Times New Roman" w:hAnsi="Arial" w:cs="Arial"/>
          <w:lang w:val="pt-BR"/>
        </w:rPr>
      </w:pPr>
    </w:p>
    <w:p w14:paraId="04232118" w14:textId="77777777" w:rsidR="00320AA0" w:rsidRPr="002724D9" w:rsidRDefault="00320AA0" w:rsidP="00333D33">
      <w:pPr>
        <w:spacing w:line="242" w:lineRule="atLeast"/>
        <w:rPr>
          <w:rFonts w:ascii="Arial" w:eastAsia="Times New Roman" w:hAnsi="Arial" w:cs="Arial"/>
          <w:lang w:val="pt-BR"/>
        </w:rPr>
      </w:pPr>
    </w:p>
    <w:p w14:paraId="04232119" w14:textId="77777777" w:rsidR="00A77F59" w:rsidRPr="002724D9" w:rsidRDefault="00A77F59" w:rsidP="00333D33">
      <w:pPr>
        <w:spacing w:line="242" w:lineRule="atLeast"/>
        <w:rPr>
          <w:rFonts w:ascii="Arial" w:eastAsia="Times New Roman" w:hAnsi="Arial" w:cs="Arial"/>
          <w:lang w:val="pt-BR"/>
        </w:rPr>
      </w:pPr>
    </w:p>
    <w:p w14:paraId="0423211A" w14:textId="77777777" w:rsidR="00EF0E1A" w:rsidRPr="002724D9" w:rsidRDefault="00EF0E1A" w:rsidP="00333D33">
      <w:pPr>
        <w:spacing w:line="242" w:lineRule="atLeast"/>
        <w:rPr>
          <w:rFonts w:ascii="Arial" w:eastAsia="Times New Roman" w:hAnsi="Arial" w:cs="Arial"/>
          <w:lang w:val="pt-BR"/>
        </w:rPr>
      </w:pPr>
    </w:p>
    <w:p w14:paraId="0423211B" w14:textId="77777777" w:rsidR="00333D33" w:rsidRPr="002724D9" w:rsidRDefault="00A371C5" w:rsidP="00333D33">
      <w:pPr>
        <w:spacing w:line="242" w:lineRule="atLeast"/>
        <w:rPr>
          <w:rFonts w:ascii="Arial" w:eastAsia="Times New Roman" w:hAnsi="Arial" w:cs="Arial"/>
          <w:lang w:val="pt-BR"/>
        </w:rPr>
      </w:pPr>
      <w:r>
        <w:rPr>
          <w:rFonts w:ascii="Arial" w:eastAsia="Times New Roman" w:hAnsi="Arial" w:cs="Arial"/>
          <w:lang w:val="pt"/>
        </w:rPr>
        <w:t xml:space="preserve">Assinatura de </w:t>
      </w:r>
      <w:r>
        <w:rPr>
          <w:rFonts w:ascii="Arial" w:eastAsia="Times New Roman" w:hAnsi="Arial" w:cs="Arial"/>
          <w:highlight w:val="yellow"/>
          <w:lang w:val="pt"/>
        </w:rPr>
        <w:t>[autoridade com poder de tomada de decisões sobre o orçamento, p. ex., Ministério das Finanças ou autoridade orçamental]</w:t>
      </w:r>
    </w:p>
    <w:p w14:paraId="0423211C" w14:textId="77777777" w:rsidR="00333D33" w:rsidRPr="002724D9" w:rsidRDefault="00A371C5" w:rsidP="00333D33">
      <w:pPr>
        <w:spacing w:line="242" w:lineRule="atLeast"/>
        <w:rPr>
          <w:rFonts w:ascii="Arial" w:eastAsia="Times New Roman" w:hAnsi="Arial" w:cs="Arial"/>
          <w:lang w:val="pt-BR"/>
        </w:rPr>
      </w:pPr>
      <w:r>
        <w:rPr>
          <w:rFonts w:ascii="Arial" w:eastAsia="Times New Roman" w:hAnsi="Arial" w:cs="Arial"/>
          <w:lang w:val="pt"/>
        </w:rPr>
        <w:t>Coassinatura do Ministério da Saúde e/ou de outras autoridades (conforme o caso)</w:t>
      </w:r>
    </w:p>
    <w:p w14:paraId="0423211D" w14:textId="77777777" w:rsidR="00EF0E1A" w:rsidRPr="002724D9" w:rsidRDefault="00EF0E1A" w:rsidP="00333D33">
      <w:pPr>
        <w:spacing w:line="242" w:lineRule="atLeast"/>
        <w:rPr>
          <w:rFonts w:ascii="Arial" w:eastAsia="Times New Roman" w:hAnsi="Arial" w:cs="Arial"/>
          <w:lang w:val="pt-BR"/>
        </w:rPr>
      </w:pPr>
    </w:p>
    <w:p w14:paraId="0423211E" w14:textId="77777777" w:rsidR="00EF0E1A" w:rsidRPr="002724D9" w:rsidRDefault="00EF0E1A" w:rsidP="00333D33">
      <w:pPr>
        <w:spacing w:line="242" w:lineRule="atLeast"/>
        <w:rPr>
          <w:rFonts w:ascii="Arial" w:eastAsia="Times New Roman" w:hAnsi="Arial" w:cs="Arial"/>
          <w:lang w:val="pt-BR"/>
        </w:rPr>
      </w:pPr>
    </w:p>
    <w:p w14:paraId="0423211F" w14:textId="77777777" w:rsidR="00EF0E1A" w:rsidRPr="002724D9" w:rsidRDefault="00EF0E1A" w:rsidP="00333D33">
      <w:pPr>
        <w:spacing w:line="242" w:lineRule="atLeast"/>
        <w:rPr>
          <w:rFonts w:ascii="Arial" w:eastAsia="Times New Roman" w:hAnsi="Arial" w:cs="Arial"/>
          <w:lang w:val="pt-BR"/>
        </w:rPr>
      </w:pPr>
    </w:p>
    <w:p w14:paraId="04232120" w14:textId="77777777" w:rsidR="0088751F" w:rsidRPr="002724D9" w:rsidRDefault="00B92521" w:rsidP="00333D33">
      <w:pPr>
        <w:spacing w:line="242" w:lineRule="atLeast"/>
        <w:rPr>
          <w:rFonts w:ascii="Arial" w:eastAsia="Times New Roman" w:hAnsi="Arial" w:cs="Arial"/>
          <w:lang w:val="pt-BR"/>
        </w:rPr>
      </w:pPr>
      <w:r>
        <w:rPr>
          <w:rFonts w:ascii="Arial" w:eastAsia="Times New Roman" w:hAnsi="Arial" w:cs="Arial"/>
          <w:lang w:val="pt"/>
        </w:rPr>
        <w:tab/>
      </w:r>
      <w:r>
        <w:rPr>
          <w:rFonts w:ascii="Arial" w:eastAsia="Times New Roman" w:hAnsi="Arial" w:cs="Arial"/>
          <w:lang w:val="pt"/>
        </w:rPr>
        <w:tab/>
      </w:r>
    </w:p>
    <w:p w14:paraId="04232121" w14:textId="77777777" w:rsidR="0054411B" w:rsidRPr="002724D9" w:rsidRDefault="21ED58C7" w:rsidP="006F72AE">
      <w:pPr>
        <w:rPr>
          <w:rFonts w:ascii="Arial" w:eastAsia="Times New Roman" w:hAnsi="Arial" w:cs="Arial"/>
          <w:lang w:val="pt-BR"/>
        </w:rPr>
      </w:pPr>
      <w:r>
        <w:rPr>
          <w:rFonts w:ascii="Arial" w:eastAsia="Times New Roman" w:hAnsi="Arial" w:cs="Arial"/>
          <w:b/>
          <w:bCs/>
          <w:lang w:val="pt"/>
        </w:rPr>
        <w:t>ANEXOS (Ilustrativo)</w:t>
      </w:r>
      <w:r>
        <w:rPr>
          <w:rFonts w:ascii="Arial" w:eastAsia="Times New Roman" w:hAnsi="Arial" w:cs="Arial"/>
          <w:lang w:val="pt"/>
        </w:rPr>
        <w:t>: Informação complementar sobre os compromissos para a nova subvenção e sobre o desempenho ao abrigo da atual subvenção, como por exemplo:</w:t>
      </w:r>
    </w:p>
    <w:p w14:paraId="04232122" w14:textId="77777777" w:rsidR="006F72AE" w:rsidRPr="002724D9" w:rsidRDefault="006F72AE" w:rsidP="006F72AE">
      <w:pPr>
        <w:pStyle w:val="ListParagraph"/>
        <w:numPr>
          <w:ilvl w:val="0"/>
          <w:numId w:val="17"/>
        </w:numPr>
        <w:spacing w:before="0" w:beforeAutospacing="0" w:after="0" w:afterAutospacing="0"/>
        <w:rPr>
          <w:rFonts w:ascii="Arial" w:hAnsi="Arial" w:cs="Arial"/>
          <w:sz w:val="22"/>
          <w:szCs w:val="22"/>
          <w:lang w:val="pt-BR"/>
        </w:rPr>
      </w:pPr>
      <w:r>
        <w:rPr>
          <w:rFonts w:ascii="Arial" w:hAnsi="Arial" w:cs="Arial"/>
          <w:sz w:val="22"/>
          <w:szCs w:val="22"/>
          <w:lang w:val="pt"/>
        </w:rPr>
        <w:t xml:space="preserve">documentação para os compromissos do período de atribuição de 2023-2025 (orçamentos do Ministério para compromissos específicos; previsões de produtos de saúde etc.) </w:t>
      </w:r>
    </w:p>
    <w:p w14:paraId="04232123" w14:textId="77777777" w:rsidR="49CDE75C" w:rsidRPr="002724D9" w:rsidRDefault="006F72AE" w:rsidP="006F72AE">
      <w:pPr>
        <w:pStyle w:val="ListParagraph"/>
        <w:numPr>
          <w:ilvl w:val="0"/>
          <w:numId w:val="17"/>
        </w:numPr>
        <w:spacing w:before="0" w:beforeAutospacing="0" w:after="0" w:afterAutospacing="0"/>
        <w:rPr>
          <w:rFonts w:ascii="Arial" w:hAnsi="Arial" w:cs="Arial"/>
          <w:sz w:val="22"/>
          <w:szCs w:val="22"/>
          <w:lang w:val="pt-BR"/>
        </w:rPr>
      </w:pPr>
      <w:r>
        <w:rPr>
          <w:rFonts w:ascii="Arial" w:hAnsi="Arial" w:cs="Arial"/>
          <w:sz w:val="22"/>
          <w:szCs w:val="22"/>
          <w:lang w:val="pt"/>
        </w:rPr>
        <w:t>tabelas que apresentam pormenorizadamente os dados atuais das despesas com programas relevantes ou compromissos específicos para cada ano da atual subvenção.</w:t>
      </w:r>
      <w:bookmarkEnd w:id="0"/>
    </w:p>
    <w:p w14:paraId="04232124" w14:textId="77777777" w:rsidR="3E1FCAEC" w:rsidRPr="002724D9" w:rsidRDefault="3E1FCAEC" w:rsidP="3E1FCAEC">
      <w:pPr>
        <w:spacing w:line="242" w:lineRule="atLeast"/>
        <w:rPr>
          <w:rFonts w:ascii="Arial" w:eastAsia="Times New Roman" w:hAnsi="Arial" w:cs="Arial"/>
          <w:lang w:val="pt-BR"/>
        </w:rPr>
      </w:pPr>
    </w:p>
    <w:p w14:paraId="04232125" w14:textId="77777777" w:rsidR="004F3884" w:rsidRPr="002724D9" w:rsidRDefault="004F3884">
      <w:pPr>
        <w:spacing w:after="160" w:line="259" w:lineRule="auto"/>
        <w:rPr>
          <w:rFonts w:ascii="Arial" w:eastAsia="Times New Roman" w:hAnsi="Arial" w:cs="Arial"/>
          <w:lang w:val="pt-BR"/>
        </w:rPr>
      </w:pPr>
      <w:r>
        <w:rPr>
          <w:rFonts w:ascii="Arial" w:eastAsia="Times New Roman" w:hAnsi="Arial" w:cs="Arial"/>
          <w:lang w:val="pt"/>
        </w:rPr>
        <w:br w:type="page"/>
      </w:r>
    </w:p>
    <w:p w14:paraId="04232126" w14:textId="77777777" w:rsidR="004F3884" w:rsidRPr="002724D9" w:rsidRDefault="00E37CF1" w:rsidP="004449C2">
      <w:pPr>
        <w:spacing w:after="120"/>
        <w:rPr>
          <w:rFonts w:ascii="Arial" w:eastAsia="Times New Roman" w:hAnsi="Arial" w:cs="Arial"/>
          <w:b/>
          <w:bCs/>
          <w:lang w:val="pt-BR"/>
        </w:rPr>
      </w:pPr>
      <w:r>
        <w:rPr>
          <w:rFonts w:ascii="Arial" w:eastAsia="Times New Roman" w:hAnsi="Arial" w:cs="Arial"/>
          <w:b/>
          <w:bCs/>
          <w:lang w:val="pt"/>
        </w:rPr>
        <w:lastRenderedPageBreak/>
        <w:t>Anexo: Orientações para o modelo de carta de compromisso</w:t>
      </w:r>
    </w:p>
    <w:p w14:paraId="04232127" w14:textId="77777777" w:rsidR="00BC6D44" w:rsidRPr="002724D9" w:rsidRDefault="00607BA6" w:rsidP="004449C2">
      <w:pPr>
        <w:pStyle w:val="ListParagraph"/>
        <w:numPr>
          <w:ilvl w:val="0"/>
          <w:numId w:val="13"/>
        </w:numPr>
        <w:spacing w:after="120" w:afterAutospacing="0"/>
        <w:rPr>
          <w:rFonts w:ascii="Arial" w:hAnsi="Arial" w:cs="Arial"/>
          <w:sz w:val="22"/>
          <w:szCs w:val="22"/>
          <w:lang w:val="pt-BR"/>
        </w:rPr>
      </w:pPr>
      <w:r>
        <w:rPr>
          <w:rFonts w:ascii="Arial" w:hAnsi="Arial" w:cs="Arial"/>
          <w:sz w:val="22"/>
          <w:szCs w:val="22"/>
          <w:lang w:val="pt"/>
        </w:rPr>
        <w:t>Recomendamos vivamente que a carta de compromisso seja apresentada em papel timbrado oficial do titular do respetivo orçamento.</w:t>
      </w:r>
    </w:p>
    <w:p w14:paraId="04232128" w14:textId="77777777" w:rsidR="00607BA6" w:rsidRPr="002724D9" w:rsidRDefault="008E5A7E" w:rsidP="004449C2">
      <w:pPr>
        <w:pStyle w:val="ListParagraph"/>
        <w:numPr>
          <w:ilvl w:val="0"/>
          <w:numId w:val="13"/>
        </w:numPr>
        <w:spacing w:after="120" w:afterAutospacing="0"/>
        <w:rPr>
          <w:rFonts w:ascii="Arial" w:hAnsi="Arial" w:cs="Arial"/>
          <w:sz w:val="22"/>
          <w:szCs w:val="22"/>
          <w:lang w:val="pt-BR"/>
        </w:rPr>
      </w:pPr>
      <w:r>
        <w:rPr>
          <w:rFonts w:ascii="Arial" w:hAnsi="Arial" w:cs="Arial"/>
          <w:sz w:val="22"/>
          <w:szCs w:val="22"/>
          <w:lang w:val="pt"/>
        </w:rPr>
        <w:t xml:space="preserve">Para favorecer a clareza e a compreensão mútua, recomendamos que os países utilizem este modelo nas suas cartas de compromisso. Se tal não for viável, lembramos, contudo, que a carta de compromisso tem de conter as informações solicitadas nas secções 1.1 e 1.2, bem como o compromisso de fornecer ao Fundo Global documentos e evidências verificáveis e fiáveis sobre as despesas dos fundos nacionais ou, caso os montantes das despesas não estejam ainda disponíveis, os últimos montantes orçamentados. Além disso, uma carta de compromisso tem de ser assinada por uma autoridade orçamental competente. Ainda que as cartas de compromisso necessitem de alguns ajustes em função do contexto do país, recomendamos que, tanto quanto possível, se adira ao modelo aqui incluído. </w:t>
      </w:r>
    </w:p>
    <w:p w14:paraId="04232129" w14:textId="77777777" w:rsidR="00860FC8" w:rsidRPr="002724D9" w:rsidRDefault="00860FC8" w:rsidP="004449C2">
      <w:pPr>
        <w:pStyle w:val="ListParagraph"/>
        <w:numPr>
          <w:ilvl w:val="0"/>
          <w:numId w:val="13"/>
        </w:numPr>
        <w:spacing w:after="120" w:afterAutospacing="0"/>
        <w:rPr>
          <w:rFonts w:ascii="Arial" w:hAnsi="Arial" w:cs="Arial"/>
          <w:sz w:val="22"/>
          <w:szCs w:val="22"/>
          <w:lang w:val="pt-BR"/>
        </w:rPr>
      </w:pPr>
      <w:r>
        <w:rPr>
          <w:rFonts w:ascii="Arial" w:hAnsi="Arial" w:cs="Arial"/>
          <w:sz w:val="22"/>
          <w:szCs w:val="22"/>
          <w:lang w:val="pt"/>
        </w:rPr>
        <w:t xml:space="preserve">Para a secção 1.3 (compromissos programáticos específicos), indique os principais compromissos programáticos para os quais o país irá direcionar as despesas internas, conforme discutido em diálogo com o Fundo Global. Estes compromissos podem incluir medicamentos, testes de diagnóstico, mosquiteiros, prestação de serviços às populações-chave e vulneráveis, agentes de saúde comunitários, prevenção do VIH etc. Não se prevê que isto esgote as despesas internas para as três doenças e para os sistemas de saúde resilientes e sustentáveis, conforme referido nos compromissos globais de cofinanciamento (secção 1.2). </w:t>
      </w:r>
    </w:p>
    <w:p w14:paraId="0423212A" w14:textId="77777777" w:rsidR="00075571" w:rsidRPr="002724D9" w:rsidRDefault="00075571" w:rsidP="00075571">
      <w:pPr>
        <w:pStyle w:val="ListParagraph"/>
        <w:numPr>
          <w:ilvl w:val="0"/>
          <w:numId w:val="13"/>
        </w:numPr>
        <w:spacing w:after="120" w:afterAutospacing="0"/>
        <w:rPr>
          <w:rFonts w:ascii="Arial" w:hAnsi="Arial" w:cs="Arial"/>
          <w:sz w:val="22"/>
          <w:szCs w:val="22"/>
          <w:lang w:val="pt-BR"/>
        </w:rPr>
      </w:pPr>
      <w:r>
        <w:rPr>
          <w:rFonts w:ascii="Arial" w:hAnsi="Arial" w:cs="Arial"/>
          <w:sz w:val="22"/>
          <w:szCs w:val="22"/>
          <w:lang w:val="pt"/>
        </w:rPr>
        <w:t xml:space="preserve">Conforme solicitado no modelo, liste e anexe cópias de documentos-fonte relevantes, que estejam disponíveis quando a carta de compromisso for finalizada e enviada ao Fundo Global. O Fundo Global irá examinar cuidadosamente estes documentos e poderá querer discutir com o país a qualidade e a periodicidade das principais fontes de dados orçamentais e de despesas que serão fornecidas regularmente ao Fundo Global durante a implementação da subvenção. </w:t>
      </w:r>
    </w:p>
    <w:p w14:paraId="0423212B" w14:textId="77777777" w:rsidR="00E37CF1" w:rsidRPr="002724D9" w:rsidRDefault="00B22CEA" w:rsidP="00E37CF1">
      <w:pPr>
        <w:pStyle w:val="ListParagraph"/>
        <w:numPr>
          <w:ilvl w:val="0"/>
          <w:numId w:val="13"/>
        </w:numPr>
        <w:spacing w:after="120" w:afterAutospacing="0"/>
        <w:rPr>
          <w:rFonts w:ascii="Arial" w:hAnsi="Arial" w:cs="Arial"/>
          <w:sz w:val="22"/>
          <w:szCs w:val="22"/>
          <w:lang w:val="pt-BR"/>
        </w:rPr>
      </w:pPr>
      <w:r>
        <w:rPr>
          <w:rFonts w:ascii="Arial" w:hAnsi="Arial" w:cs="Arial"/>
          <w:sz w:val="22"/>
          <w:szCs w:val="22"/>
          <w:lang w:val="pt"/>
        </w:rPr>
        <w:t>A tabela apresentada na secção 2 (Monitorização e elaboração de relatórios) é ilustrativa. Cada país deverá inserir a sua própria tabela com base no seu calendário fiscal e numa avaliação realista da rapidez com que consegue relatar e fornecer as informações nas colunas «fonte» acima referidas, quer para o cofinanciamento quer para os compromissos programáticos específicos.</w:t>
      </w:r>
    </w:p>
    <w:p w14:paraId="0423212C" w14:textId="77777777" w:rsidR="00756CAB" w:rsidRPr="002724D9" w:rsidRDefault="00756CAB" w:rsidP="005223F6">
      <w:pPr>
        <w:spacing w:after="120"/>
        <w:rPr>
          <w:rFonts w:ascii="Arial" w:hAnsi="Arial" w:cs="Arial"/>
          <w:lang w:val="pt-BR"/>
        </w:rPr>
      </w:pPr>
    </w:p>
    <w:sectPr w:rsidR="00756CAB" w:rsidRPr="002724D9" w:rsidSect="0082258E">
      <w:headerReference w:type="default" r:id="rId11"/>
      <w:footerReference w:type="even" r:id="rId12"/>
      <w:footerReference w:type="default" r:id="rId13"/>
      <w:pgSz w:w="11906" w:h="16838"/>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7014" w14:textId="77777777" w:rsidR="00CC6FAB" w:rsidRDefault="00CC6FAB" w:rsidP="00896475">
      <w:r>
        <w:separator/>
      </w:r>
    </w:p>
  </w:endnote>
  <w:endnote w:type="continuationSeparator" w:id="0">
    <w:p w14:paraId="48AF6F9D" w14:textId="77777777" w:rsidR="00CC6FAB" w:rsidRDefault="00CC6FAB" w:rsidP="00896475">
      <w:r>
        <w:continuationSeparator/>
      </w:r>
    </w:p>
  </w:endnote>
  <w:endnote w:type="continuationNotice" w:id="1">
    <w:p w14:paraId="48198A3C" w14:textId="77777777" w:rsidR="00CC6FAB" w:rsidRDefault="00CC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2134" w14:textId="77777777" w:rsidR="0019687F" w:rsidRDefault="0019687F">
    <w:pPr>
      <w:pStyle w:val="Footer"/>
      <w:framePr w:wrap="none" w:vAnchor="text" w:hAnchor="margin" w:xAlign="right" w:y="1"/>
      <w:rPr>
        <w:rStyle w:val="PageNumber"/>
      </w:rPr>
    </w:pPr>
    <w:r>
      <w:rPr>
        <w:rStyle w:val="PageNumber"/>
        <w:lang w:val="pt"/>
      </w:rPr>
      <w:fldChar w:fldCharType="begin"/>
    </w:r>
    <w:r>
      <w:rPr>
        <w:rStyle w:val="PageNumber"/>
        <w:lang w:val="pt"/>
      </w:rPr>
      <w:instrText xml:space="preserve"> PAGE </w:instrText>
    </w:r>
    <w:r>
      <w:rPr>
        <w:rStyle w:val="PageNumber"/>
        <w:lang w:val="pt"/>
      </w:rPr>
      <w:fldChar w:fldCharType="separate"/>
    </w:r>
    <w:r>
      <w:rPr>
        <w:rStyle w:val="PageNumber"/>
        <w:noProof/>
        <w:lang w:val="pt"/>
      </w:rPr>
      <w:t>3</w:t>
    </w:r>
    <w:r>
      <w:rPr>
        <w:rStyle w:val="PageNumber"/>
        <w:lang w:val="pt"/>
      </w:rPr>
      <w:fldChar w:fldCharType="end"/>
    </w:r>
  </w:p>
  <w:p w14:paraId="04232135" w14:textId="77777777" w:rsidR="0019687F" w:rsidRDefault="0019687F" w:rsidP="00196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025624"/>
      <w:docPartObj>
        <w:docPartGallery w:val="Page Numbers (Bottom of Page)"/>
        <w:docPartUnique/>
      </w:docPartObj>
    </w:sdtPr>
    <w:sdtEndPr>
      <w:rPr>
        <w:rStyle w:val="PageNumber"/>
      </w:rPr>
    </w:sdtEndPr>
    <w:sdtContent>
      <w:p w14:paraId="04232136" w14:textId="77777777" w:rsidR="0019687F" w:rsidRDefault="0019687F">
        <w:pPr>
          <w:pStyle w:val="Footer"/>
          <w:framePr w:wrap="none" w:vAnchor="text" w:hAnchor="margin" w:xAlign="right" w:y="1"/>
          <w:rPr>
            <w:rStyle w:val="PageNumber"/>
          </w:rPr>
        </w:pPr>
        <w:r>
          <w:rPr>
            <w:rStyle w:val="PageNumber"/>
            <w:lang w:val="pt"/>
          </w:rPr>
          <w:fldChar w:fldCharType="begin"/>
        </w:r>
        <w:r>
          <w:rPr>
            <w:rStyle w:val="PageNumber"/>
            <w:lang w:val="pt"/>
          </w:rPr>
          <w:instrText xml:space="preserve"> PAGE </w:instrText>
        </w:r>
        <w:r>
          <w:rPr>
            <w:rStyle w:val="PageNumber"/>
            <w:lang w:val="pt"/>
          </w:rPr>
          <w:fldChar w:fldCharType="separate"/>
        </w:r>
        <w:r>
          <w:rPr>
            <w:rStyle w:val="PageNumber"/>
            <w:noProof/>
            <w:lang w:val="pt"/>
          </w:rPr>
          <w:t>1</w:t>
        </w:r>
        <w:r>
          <w:rPr>
            <w:rStyle w:val="PageNumber"/>
            <w:lang w:val="pt"/>
          </w:rPr>
          <w:fldChar w:fldCharType="end"/>
        </w:r>
      </w:p>
    </w:sdtContent>
  </w:sdt>
  <w:p w14:paraId="04232137" w14:textId="77777777" w:rsidR="00896475" w:rsidRPr="00CF45F8" w:rsidRDefault="00896475" w:rsidP="0019687F">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5A82" w14:textId="77777777" w:rsidR="00CC6FAB" w:rsidRDefault="00CC6FAB" w:rsidP="00896475">
      <w:r>
        <w:separator/>
      </w:r>
    </w:p>
  </w:footnote>
  <w:footnote w:type="continuationSeparator" w:id="0">
    <w:p w14:paraId="107DE3AE" w14:textId="77777777" w:rsidR="00CC6FAB" w:rsidRDefault="00CC6FAB" w:rsidP="00896475">
      <w:r>
        <w:continuationSeparator/>
      </w:r>
    </w:p>
  </w:footnote>
  <w:footnote w:type="continuationNotice" w:id="1">
    <w:p w14:paraId="78492F0A" w14:textId="77777777" w:rsidR="00CC6FAB" w:rsidRDefault="00CC6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2133" w14:textId="77777777" w:rsidR="00896475" w:rsidRPr="002724D9" w:rsidRDefault="00896475" w:rsidP="00896475">
    <w:pPr>
      <w:rPr>
        <w:rFonts w:ascii="Arial" w:eastAsia="Times New Roman" w:hAnsi="Arial" w:cs="Arial"/>
        <w:color w:val="000000"/>
        <w:lang w:val="pt-BR"/>
      </w:rPr>
    </w:pPr>
    <w:r>
      <w:rPr>
        <w:rFonts w:ascii="Arial" w:hAnsi="Arial" w:cs="Arial"/>
        <w:lang w:val="pt"/>
      </w:rPr>
      <w:t xml:space="preserve">[Inserir </w:t>
    </w:r>
    <w:r>
      <w:rPr>
        <w:rFonts w:ascii="Arial" w:hAnsi="Arial" w:cs="Arial"/>
        <w:color w:val="000000"/>
        <w:lang w:val="pt"/>
      </w:rPr>
      <w:t>papel timbrado do Ministério das Finanças</w:t>
    </w:r>
    <w:r>
      <w:rPr>
        <w:rFonts w:ascii="Arial" w:hAnsi="Arial" w:cs="Arial"/>
        <w:lang w:val="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DDB"/>
    <w:multiLevelType w:val="hybridMultilevel"/>
    <w:tmpl w:val="0DCE0C50"/>
    <w:lvl w:ilvl="0" w:tplc="AC42D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46B7"/>
    <w:multiLevelType w:val="hybridMultilevel"/>
    <w:tmpl w:val="438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3D6D"/>
    <w:multiLevelType w:val="hybridMultilevel"/>
    <w:tmpl w:val="134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D29"/>
    <w:multiLevelType w:val="hybridMultilevel"/>
    <w:tmpl w:val="0C22F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ADD"/>
    <w:multiLevelType w:val="hybridMultilevel"/>
    <w:tmpl w:val="239EB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9AD6221"/>
    <w:multiLevelType w:val="hybridMultilevel"/>
    <w:tmpl w:val="C0D2B6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22F93"/>
    <w:multiLevelType w:val="hybridMultilevel"/>
    <w:tmpl w:val="8C9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810A8"/>
    <w:multiLevelType w:val="hybridMultilevel"/>
    <w:tmpl w:val="6BD2E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B0FFB"/>
    <w:multiLevelType w:val="hybridMultilevel"/>
    <w:tmpl w:val="627A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5E22BD"/>
    <w:multiLevelType w:val="hybridMultilevel"/>
    <w:tmpl w:val="4BB6D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E457C7"/>
    <w:multiLevelType w:val="hybridMultilevel"/>
    <w:tmpl w:val="5124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9528F8"/>
    <w:multiLevelType w:val="hybridMultilevel"/>
    <w:tmpl w:val="E72E7F0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CC5BFF"/>
    <w:multiLevelType w:val="hybridMultilevel"/>
    <w:tmpl w:val="5DAA9D3A"/>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D44E14"/>
    <w:multiLevelType w:val="hybridMultilevel"/>
    <w:tmpl w:val="0B982662"/>
    <w:lvl w:ilvl="0" w:tplc="1DC43DD4">
      <w:start w:val="1"/>
      <w:numFmt w:val="decimal"/>
      <w:lvlText w:val="%1."/>
      <w:lvlJc w:val="left"/>
      <w:pPr>
        <w:ind w:left="360" w:hanging="360"/>
      </w:pPr>
      <w:rPr>
        <w:rFonts w:hint="default"/>
      </w:rPr>
    </w:lvl>
    <w:lvl w:ilvl="1" w:tplc="F2287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50E62"/>
    <w:multiLevelType w:val="hybridMultilevel"/>
    <w:tmpl w:val="CACC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225C"/>
    <w:multiLevelType w:val="hybridMultilevel"/>
    <w:tmpl w:val="92FC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B2CDE"/>
    <w:multiLevelType w:val="hybridMultilevel"/>
    <w:tmpl w:val="E2E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0667">
    <w:abstractNumId w:val="4"/>
  </w:num>
  <w:num w:numId="2" w16cid:durableId="1418744353">
    <w:abstractNumId w:val="10"/>
  </w:num>
  <w:num w:numId="3" w16cid:durableId="1044863571">
    <w:abstractNumId w:val="5"/>
  </w:num>
  <w:num w:numId="4" w16cid:durableId="1044982208">
    <w:abstractNumId w:val="8"/>
  </w:num>
  <w:num w:numId="5" w16cid:durableId="1705519125">
    <w:abstractNumId w:val="12"/>
  </w:num>
  <w:num w:numId="6" w16cid:durableId="1448817495">
    <w:abstractNumId w:val="11"/>
  </w:num>
  <w:num w:numId="7" w16cid:durableId="61636343">
    <w:abstractNumId w:val="15"/>
  </w:num>
  <w:num w:numId="8" w16cid:durableId="33625524">
    <w:abstractNumId w:val="16"/>
  </w:num>
  <w:num w:numId="9" w16cid:durableId="1346710352">
    <w:abstractNumId w:val="1"/>
  </w:num>
  <w:num w:numId="10" w16cid:durableId="904683252">
    <w:abstractNumId w:val="13"/>
  </w:num>
  <w:num w:numId="11" w16cid:durableId="9727592">
    <w:abstractNumId w:val="9"/>
  </w:num>
  <w:num w:numId="12" w16cid:durableId="1705515213">
    <w:abstractNumId w:val="0"/>
  </w:num>
  <w:num w:numId="13" w16cid:durableId="995301595">
    <w:abstractNumId w:val="2"/>
  </w:num>
  <w:num w:numId="14" w16cid:durableId="700590882">
    <w:abstractNumId w:val="6"/>
  </w:num>
  <w:num w:numId="15" w16cid:durableId="247346066">
    <w:abstractNumId w:val="3"/>
  </w:num>
  <w:num w:numId="16" w16cid:durableId="1965848691">
    <w:abstractNumId w:val="7"/>
  </w:num>
  <w:num w:numId="17" w16cid:durableId="1841119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33"/>
    <w:rsid w:val="00003DD0"/>
    <w:rsid w:val="000047E1"/>
    <w:rsid w:val="000066B6"/>
    <w:rsid w:val="00012D4A"/>
    <w:rsid w:val="00013777"/>
    <w:rsid w:val="0001521A"/>
    <w:rsid w:val="00022D0A"/>
    <w:rsid w:val="00024BB8"/>
    <w:rsid w:val="00024CF3"/>
    <w:rsid w:val="000250C5"/>
    <w:rsid w:val="000255E8"/>
    <w:rsid w:val="00025F16"/>
    <w:rsid w:val="000267DF"/>
    <w:rsid w:val="00027C5E"/>
    <w:rsid w:val="00027D89"/>
    <w:rsid w:val="00027F28"/>
    <w:rsid w:val="0003433C"/>
    <w:rsid w:val="000353C9"/>
    <w:rsid w:val="00037B97"/>
    <w:rsid w:val="00037E11"/>
    <w:rsid w:val="00044088"/>
    <w:rsid w:val="00045231"/>
    <w:rsid w:val="00047359"/>
    <w:rsid w:val="00050560"/>
    <w:rsid w:val="00051C39"/>
    <w:rsid w:val="0005235F"/>
    <w:rsid w:val="00062D05"/>
    <w:rsid w:val="000633B4"/>
    <w:rsid w:val="00064590"/>
    <w:rsid w:val="00064BE0"/>
    <w:rsid w:val="00066558"/>
    <w:rsid w:val="0006660A"/>
    <w:rsid w:val="00066AEB"/>
    <w:rsid w:val="00067C78"/>
    <w:rsid w:val="00075571"/>
    <w:rsid w:val="00083198"/>
    <w:rsid w:val="00094C28"/>
    <w:rsid w:val="0009570F"/>
    <w:rsid w:val="00097CE6"/>
    <w:rsid w:val="000A7A94"/>
    <w:rsid w:val="000B7EF4"/>
    <w:rsid w:val="000C2F23"/>
    <w:rsid w:val="000C3A7F"/>
    <w:rsid w:val="000D07CA"/>
    <w:rsid w:val="000D2FCD"/>
    <w:rsid w:val="000D7AE6"/>
    <w:rsid w:val="000E03C1"/>
    <w:rsid w:val="000E0777"/>
    <w:rsid w:val="000E1643"/>
    <w:rsid w:val="000E20A3"/>
    <w:rsid w:val="000E44A7"/>
    <w:rsid w:val="000E486B"/>
    <w:rsid w:val="000F03AE"/>
    <w:rsid w:val="000F1BF7"/>
    <w:rsid w:val="000F548B"/>
    <w:rsid w:val="000F5B26"/>
    <w:rsid w:val="000F6481"/>
    <w:rsid w:val="000F7277"/>
    <w:rsid w:val="000F784C"/>
    <w:rsid w:val="00101439"/>
    <w:rsid w:val="001027E6"/>
    <w:rsid w:val="001033D3"/>
    <w:rsid w:val="00104D8A"/>
    <w:rsid w:val="00106BF5"/>
    <w:rsid w:val="001111F2"/>
    <w:rsid w:val="001135A3"/>
    <w:rsid w:val="00120116"/>
    <w:rsid w:val="0012244F"/>
    <w:rsid w:val="00122858"/>
    <w:rsid w:val="001237CF"/>
    <w:rsid w:val="00131D7F"/>
    <w:rsid w:val="00133C03"/>
    <w:rsid w:val="00135D8D"/>
    <w:rsid w:val="00140023"/>
    <w:rsid w:val="0014157A"/>
    <w:rsid w:val="00150DEC"/>
    <w:rsid w:val="001515AC"/>
    <w:rsid w:val="001626B0"/>
    <w:rsid w:val="0016277D"/>
    <w:rsid w:val="00172D26"/>
    <w:rsid w:val="00173C64"/>
    <w:rsid w:val="0018134C"/>
    <w:rsid w:val="00181EBB"/>
    <w:rsid w:val="00184F45"/>
    <w:rsid w:val="001853E4"/>
    <w:rsid w:val="0018607D"/>
    <w:rsid w:val="00186963"/>
    <w:rsid w:val="0019084D"/>
    <w:rsid w:val="00191E2A"/>
    <w:rsid w:val="0019687F"/>
    <w:rsid w:val="0019703C"/>
    <w:rsid w:val="001A06E5"/>
    <w:rsid w:val="001A1529"/>
    <w:rsid w:val="001A1DAD"/>
    <w:rsid w:val="001A1FC3"/>
    <w:rsid w:val="001A3420"/>
    <w:rsid w:val="001A3887"/>
    <w:rsid w:val="001A438C"/>
    <w:rsid w:val="001A4B46"/>
    <w:rsid w:val="001A74DD"/>
    <w:rsid w:val="001B2739"/>
    <w:rsid w:val="001B56DC"/>
    <w:rsid w:val="001C30FA"/>
    <w:rsid w:val="001C3D73"/>
    <w:rsid w:val="001C61CC"/>
    <w:rsid w:val="001C6834"/>
    <w:rsid w:val="001C70C3"/>
    <w:rsid w:val="001D1088"/>
    <w:rsid w:val="001D5FEF"/>
    <w:rsid w:val="001D6FF8"/>
    <w:rsid w:val="001D74D9"/>
    <w:rsid w:val="001E0288"/>
    <w:rsid w:val="001E0584"/>
    <w:rsid w:val="001E06B8"/>
    <w:rsid w:val="001E5702"/>
    <w:rsid w:val="001E67D9"/>
    <w:rsid w:val="001F3EB6"/>
    <w:rsid w:val="001F60E4"/>
    <w:rsid w:val="001F7972"/>
    <w:rsid w:val="00202E55"/>
    <w:rsid w:val="002063DB"/>
    <w:rsid w:val="0020784E"/>
    <w:rsid w:val="00214A8D"/>
    <w:rsid w:val="002165CE"/>
    <w:rsid w:val="00216FA1"/>
    <w:rsid w:val="00220C35"/>
    <w:rsid w:val="00225401"/>
    <w:rsid w:val="0023054F"/>
    <w:rsid w:val="00237DC3"/>
    <w:rsid w:val="002429F0"/>
    <w:rsid w:val="00246028"/>
    <w:rsid w:val="00267368"/>
    <w:rsid w:val="002724D9"/>
    <w:rsid w:val="00281190"/>
    <w:rsid w:val="0028229D"/>
    <w:rsid w:val="00283874"/>
    <w:rsid w:val="00283AC6"/>
    <w:rsid w:val="00287361"/>
    <w:rsid w:val="0029042D"/>
    <w:rsid w:val="00293BAD"/>
    <w:rsid w:val="00296855"/>
    <w:rsid w:val="002A0115"/>
    <w:rsid w:val="002A0781"/>
    <w:rsid w:val="002A14A5"/>
    <w:rsid w:val="002B097C"/>
    <w:rsid w:val="002B20E1"/>
    <w:rsid w:val="002B7638"/>
    <w:rsid w:val="002C01E0"/>
    <w:rsid w:val="002C1359"/>
    <w:rsid w:val="002C319F"/>
    <w:rsid w:val="002C53E7"/>
    <w:rsid w:val="002C5B0B"/>
    <w:rsid w:val="002C6E06"/>
    <w:rsid w:val="002C7E78"/>
    <w:rsid w:val="002D1402"/>
    <w:rsid w:val="002D32BF"/>
    <w:rsid w:val="002D3AE6"/>
    <w:rsid w:val="002D3FCB"/>
    <w:rsid w:val="002D6A32"/>
    <w:rsid w:val="002E16AF"/>
    <w:rsid w:val="002E1924"/>
    <w:rsid w:val="002E7ABE"/>
    <w:rsid w:val="002F04C4"/>
    <w:rsid w:val="002F0A6B"/>
    <w:rsid w:val="002F2F5A"/>
    <w:rsid w:val="002F36B1"/>
    <w:rsid w:val="002F3DE3"/>
    <w:rsid w:val="002F469D"/>
    <w:rsid w:val="003066D3"/>
    <w:rsid w:val="003114F4"/>
    <w:rsid w:val="0031178D"/>
    <w:rsid w:val="00313BB4"/>
    <w:rsid w:val="00314E36"/>
    <w:rsid w:val="003205CB"/>
    <w:rsid w:val="003206FE"/>
    <w:rsid w:val="00320AA0"/>
    <w:rsid w:val="0032727E"/>
    <w:rsid w:val="00333CAC"/>
    <w:rsid w:val="00333D33"/>
    <w:rsid w:val="003343C3"/>
    <w:rsid w:val="0033747B"/>
    <w:rsid w:val="003377EE"/>
    <w:rsid w:val="003429F2"/>
    <w:rsid w:val="0034407F"/>
    <w:rsid w:val="0035180D"/>
    <w:rsid w:val="0035314A"/>
    <w:rsid w:val="0036044F"/>
    <w:rsid w:val="00362D8E"/>
    <w:rsid w:val="00366589"/>
    <w:rsid w:val="00367638"/>
    <w:rsid w:val="00372BDB"/>
    <w:rsid w:val="00374B5B"/>
    <w:rsid w:val="00381496"/>
    <w:rsid w:val="00381B55"/>
    <w:rsid w:val="003828F9"/>
    <w:rsid w:val="00383A21"/>
    <w:rsid w:val="003946C8"/>
    <w:rsid w:val="003977FB"/>
    <w:rsid w:val="003A188C"/>
    <w:rsid w:val="003A4B55"/>
    <w:rsid w:val="003A4DF2"/>
    <w:rsid w:val="003A616A"/>
    <w:rsid w:val="003B0CD4"/>
    <w:rsid w:val="003B2E55"/>
    <w:rsid w:val="003C05B9"/>
    <w:rsid w:val="003D1AA1"/>
    <w:rsid w:val="003D4CE9"/>
    <w:rsid w:val="003D566F"/>
    <w:rsid w:val="003D605C"/>
    <w:rsid w:val="003E4935"/>
    <w:rsid w:val="003E64B3"/>
    <w:rsid w:val="003E6A78"/>
    <w:rsid w:val="003F1D1E"/>
    <w:rsid w:val="003F54EA"/>
    <w:rsid w:val="003F7582"/>
    <w:rsid w:val="00400325"/>
    <w:rsid w:val="00402E66"/>
    <w:rsid w:val="00403420"/>
    <w:rsid w:val="00403676"/>
    <w:rsid w:val="00403C50"/>
    <w:rsid w:val="00404ADC"/>
    <w:rsid w:val="00404CA3"/>
    <w:rsid w:val="004062D9"/>
    <w:rsid w:val="0041172E"/>
    <w:rsid w:val="00420730"/>
    <w:rsid w:val="0042204A"/>
    <w:rsid w:val="00425692"/>
    <w:rsid w:val="00425FE6"/>
    <w:rsid w:val="00426EB6"/>
    <w:rsid w:val="00427A78"/>
    <w:rsid w:val="0043181F"/>
    <w:rsid w:val="00431F73"/>
    <w:rsid w:val="0043271E"/>
    <w:rsid w:val="00434CC5"/>
    <w:rsid w:val="00437A19"/>
    <w:rsid w:val="00437C9E"/>
    <w:rsid w:val="00437F55"/>
    <w:rsid w:val="00440E2D"/>
    <w:rsid w:val="004449C2"/>
    <w:rsid w:val="0044794C"/>
    <w:rsid w:val="00450839"/>
    <w:rsid w:val="00453BB4"/>
    <w:rsid w:val="00454AF5"/>
    <w:rsid w:val="004618E7"/>
    <w:rsid w:val="00463D1D"/>
    <w:rsid w:val="0046618D"/>
    <w:rsid w:val="00466B58"/>
    <w:rsid w:val="00467DF4"/>
    <w:rsid w:val="004727D5"/>
    <w:rsid w:val="0047458B"/>
    <w:rsid w:val="0047460D"/>
    <w:rsid w:val="00475FD2"/>
    <w:rsid w:val="00485CD1"/>
    <w:rsid w:val="00486C51"/>
    <w:rsid w:val="004903E3"/>
    <w:rsid w:val="004941CA"/>
    <w:rsid w:val="00494E54"/>
    <w:rsid w:val="004A4599"/>
    <w:rsid w:val="004A7FF8"/>
    <w:rsid w:val="004B1BDB"/>
    <w:rsid w:val="004B2C6F"/>
    <w:rsid w:val="004B4E4D"/>
    <w:rsid w:val="004B762F"/>
    <w:rsid w:val="004C144A"/>
    <w:rsid w:val="004C214E"/>
    <w:rsid w:val="004C35FA"/>
    <w:rsid w:val="004C3FE8"/>
    <w:rsid w:val="004C463A"/>
    <w:rsid w:val="004C523B"/>
    <w:rsid w:val="004D012E"/>
    <w:rsid w:val="004D2D3E"/>
    <w:rsid w:val="004E3B6B"/>
    <w:rsid w:val="004F3884"/>
    <w:rsid w:val="004F4BA7"/>
    <w:rsid w:val="004F5A76"/>
    <w:rsid w:val="00505ED3"/>
    <w:rsid w:val="00510ACA"/>
    <w:rsid w:val="005147B9"/>
    <w:rsid w:val="005209C9"/>
    <w:rsid w:val="00520DAC"/>
    <w:rsid w:val="005212A1"/>
    <w:rsid w:val="0052238B"/>
    <w:rsid w:val="005223F6"/>
    <w:rsid w:val="0052402E"/>
    <w:rsid w:val="005249E6"/>
    <w:rsid w:val="00525E78"/>
    <w:rsid w:val="00534F92"/>
    <w:rsid w:val="005373CC"/>
    <w:rsid w:val="0054411B"/>
    <w:rsid w:val="00546943"/>
    <w:rsid w:val="0054750F"/>
    <w:rsid w:val="00547F0A"/>
    <w:rsid w:val="005510E9"/>
    <w:rsid w:val="00553C69"/>
    <w:rsid w:val="00560099"/>
    <w:rsid w:val="005729AB"/>
    <w:rsid w:val="0057424D"/>
    <w:rsid w:val="00574B70"/>
    <w:rsid w:val="0057743C"/>
    <w:rsid w:val="005817F9"/>
    <w:rsid w:val="00590799"/>
    <w:rsid w:val="00590A64"/>
    <w:rsid w:val="005936E7"/>
    <w:rsid w:val="00594DFD"/>
    <w:rsid w:val="005961F3"/>
    <w:rsid w:val="005967D9"/>
    <w:rsid w:val="005A4E09"/>
    <w:rsid w:val="005B0C16"/>
    <w:rsid w:val="005C3CB6"/>
    <w:rsid w:val="005C4A3A"/>
    <w:rsid w:val="005C5193"/>
    <w:rsid w:val="005C5FEF"/>
    <w:rsid w:val="005D26B3"/>
    <w:rsid w:val="005D2C7C"/>
    <w:rsid w:val="005D719C"/>
    <w:rsid w:val="005E00B2"/>
    <w:rsid w:val="005E01FD"/>
    <w:rsid w:val="005E2189"/>
    <w:rsid w:val="005E4CF7"/>
    <w:rsid w:val="005E4FAC"/>
    <w:rsid w:val="005F1036"/>
    <w:rsid w:val="005F2096"/>
    <w:rsid w:val="005F5251"/>
    <w:rsid w:val="005F54E1"/>
    <w:rsid w:val="005F5975"/>
    <w:rsid w:val="005F6C2A"/>
    <w:rsid w:val="006035C2"/>
    <w:rsid w:val="006055EF"/>
    <w:rsid w:val="00607BA6"/>
    <w:rsid w:val="00610074"/>
    <w:rsid w:val="006111C2"/>
    <w:rsid w:val="006129C0"/>
    <w:rsid w:val="00614D9A"/>
    <w:rsid w:val="00622C52"/>
    <w:rsid w:val="00626E3D"/>
    <w:rsid w:val="00627568"/>
    <w:rsid w:val="006278AB"/>
    <w:rsid w:val="00631C24"/>
    <w:rsid w:val="00632E1F"/>
    <w:rsid w:val="00632FB8"/>
    <w:rsid w:val="00637EEF"/>
    <w:rsid w:val="00643137"/>
    <w:rsid w:val="00644E87"/>
    <w:rsid w:val="00645766"/>
    <w:rsid w:val="00646318"/>
    <w:rsid w:val="00651E8A"/>
    <w:rsid w:val="0065367B"/>
    <w:rsid w:val="006562FC"/>
    <w:rsid w:val="00657239"/>
    <w:rsid w:val="006676FE"/>
    <w:rsid w:val="00670173"/>
    <w:rsid w:val="0067110B"/>
    <w:rsid w:val="0067195C"/>
    <w:rsid w:val="00675F48"/>
    <w:rsid w:val="00676515"/>
    <w:rsid w:val="00680122"/>
    <w:rsid w:val="006816DF"/>
    <w:rsid w:val="006837FC"/>
    <w:rsid w:val="00686BFA"/>
    <w:rsid w:val="00691837"/>
    <w:rsid w:val="00693B6A"/>
    <w:rsid w:val="00694DD5"/>
    <w:rsid w:val="00696C84"/>
    <w:rsid w:val="006A0D01"/>
    <w:rsid w:val="006A0E5E"/>
    <w:rsid w:val="006A4082"/>
    <w:rsid w:val="006A5280"/>
    <w:rsid w:val="006A7A65"/>
    <w:rsid w:val="006B1F27"/>
    <w:rsid w:val="006B2C57"/>
    <w:rsid w:val="006C291B"/>
    <w:rsid w:val="006C5C31"/>
    <w:rsid w:val="006C6E41"/>
    <w:rsid w:val="006D3278"/>
    <w:rsid w:val="006D416F"/>
    <w:rsid w:val="006D53C2"/>
    <w:rsid w:val="006D6830"/>
    <w:rsid w:val="006E301E"/>
    <w:rsid w:val="006E31D2"/>
    <w:rsid w:val="006E4FB2"/>
    <w:rsid w:val="006F324D"/>
    <w:rsid w:val="006F5424"/>
    <w:rsid w:val="006F72AE"/>
    <w:rsid w:val="006F7F00"/>
    <w:rsid w:val="00701F69"/>
    <w:rsid w:val="007055FB"/>
    <w:rsid w:val="00713CAC"/>
    <w:rsid w:val="00714891"/>
    <w:rsid w:val="007169BC"/>
    <w:rsid w:val="00720BAF"/>
    <w:rsid w:val="00731255"/>
    <w:rsid w:val="00734363"/>
    <w:rsid w:val="0073441E"/>
    <w:rsid w:val="0073618E"/>
    <w:rsid w:val="00744576"/>
    <w:rsid w:val="00753C75"/>
    <w:rsid w:val="0075553E"/>
    <w:rsid w:val="00756CAB"/>
    <w:rsid w:val="007637E3"/>
    <w:rsid w:val="007700A7"/>
    <w:rsid w:val="00772905"/>
    <w:rsid w:val="007732A9"/>
    <w:rsid w:val="0077486A"/>
    <w:rsid w:val="007826DA"/>
    <w:rsid w:val="007834EC"/>
    <w:rsid w:val="00796F70"/>
    <w:rsid w:val="0079773D"/>
    <w:rsid w:val="007A0911"/>
    <w:rsid w:val="007A33C4"/>
    <w:rsid w:val="007A3D52"/>
    <w:rsid w:val="007B3954"/>
    <w:rsid w:val="007B3F31"/>
    <w:rsid w:val="007B4E5C"/>
    <w:rsid w:val="007B6022"/>
    <w:rsid w:val="007C3E17"/>
    <w:rsid w:val="007D5DC2"/>
    <w:rsid w:val="007E09E8"/>
    <w:rsid w:val="007E38EE"/>
    <w:rsid w:val="007E5544"/>
    <w:rsid w:val="007F12B9"/>
    <w:rsid w:val="007F35B2"/>
    <w:rsid w:val="007F3626"/>
    <w:rsid w:val="007F56AD"/>
    <w:rsid w:val="007F7446"/>
    <w:rsid w:val="0080084A"/>
    <w:rsid w:val="00801C29"/>
    <w:rsid w:val="00802957"/>
    <w:rsid w:val="00803AE6"/>
    <w:rsid w:val="00803B88"/>
    <w:rsid w:val="0082258E"/>
    <w:rsid w:val="00823D68"/>
    <w:rsid w:val="0082410B"/>
    <w:rsid w:val="00825334"/>
    <w:rsid w:val="00825581"/>
    <w:rsid w:val="00835DB1"/>
    <w:rsid w:val="00843C2B"/>
    <w:rsid w:val="008453A8"/>
    <w:rsid w:val="00851F0F"/>
    <w:rsid w:val="00856189"/>
    <w:rsid w:val="00860FC8"/>
    <w:rsid w:val="00861DB6"/>
    <w:rsid w:val="00862C69"/>
    <w:rsid w:val="00863374"/>
    <w:rsid w:val="00864646"/>
    <w:rsid w:val="00865E8A"/>
    <w:rsid w:val="00866823"/>
    <w:rsid w:val="008670DB"/>
    <w:rsid w:val="00867A16"/>
    <w:rsid w:val="00873116"/>
    <w:rsid w:val="00873534"/>
    <w:rsid w:val="00877724"/>
    <w:rsid w:val="00880E0C"/>
    <w:rsid w:val="00881C47"/>
    <w:rsid w:val="008823D2"/>
    <w:rsid w:val="00884BDF"/>
    <w:rsid w:val="00887400"/>
    <w:rsid w:val="0088751F"/>
    <w:rsid w:val="00892E26"/>
    <w:rsid w:val="00896475"/>
    <w:rsid w:val="008A043C"/>
    <w:rsid w:val="008B2ED8"/>
    <w:rsid w:val="008B6D6A"/>
    <w:rsid w:val="008C0383"/>
    <w:rsid w:val="008C06D4"/>
    <w:rsid w:val="008C18E1"/>
    <w:rsid w:val="008C37E1"/>
    <w:rsid w:val="008C5CCF"/>
    <w:rsid w:val="008D1426"/>
    <w:rsid w:val="008D2CF1"/>
    <w:rsid w:val="008D6397"/>
    <w:rsid w:val="008D66A2"/>
    <w:rsid w:val="008D6F18"/>
    <w:rsid w:val="008E5A7E"/>
    <w:rsid w:val="008F05B6"/>
    <w:rsid w:val="008F0CE8"/>
    <w:rsid w:val="008F167F"/>
    <w:rsid w:val="009013C1"/>
    <w:rsid w:val="009079D4"/>
    <w:rsid w:val="00907EC6"/>
    <w:rsid w:val="00910FD7"/>
    <w:rsid w:val="00924DED"/>
    <w:rsid w:val="009256AF"/>
    <w:rsid w:val="00926F74"/>
    <w:rsid w:val="00927A5D"/>
    <w:rsid w:val="009308B2"/>
    <w:rsid w:val="009308E4"/>
    <w:rsid w:val="009334D7"/>
    <w:rsid w:val="009358BA"/>
    <w:rsid w:val="0093754B"/>
    <w:rsid w:val="00940720"/>
    <w:rsid w:val="00940B82"/>
    <w:rsid w:val="0094331E"/>
    <w:rsid w:val="00947730"/>
    <w:rsid w:val="009531ED"/>
    <w:rsid w:val="00965B18"/>
    <w:rsid w:val="00966418"/>
    <w:rsid w:val="00974EFB"/>
    <w:rsid w:val="00975E0D"/>
    <w:rsid w:val="009774FE"/>
    <w:rsid w:val="0098556F"/>
    <w:rsid w:val="0098742D"/>
    <w:rsid w:val="0099016D"/>
    <w:rsid w:val="00991AA6"/>
    <w:rsid w:val="00995813"/>
    <w:rsid w:val="00995A4B"/>
    <w:rsid w:val="009976E0"/>
    <w:rsid w:val="00997D71"/>
    <w:rsid w:val="009A22F3"/>
    <w:rsid w:val="009A33FE"/>
    <w:rsid w:val="009B18FE"/>
    <w:rsid w:val="009B297B"/>
    <w:rsid w:val="009B2F5F"/>
    <w:rsid w:val="009B34DD"/>
    <w:rsid w:val="009B6FFB"/>
    <w:rsid w:val="009C2290"/>
    <w:rsid w:val="009D0B9C"/>
    <w:rsid w:val="009D0D6C"/>
    <w:rsid w:val="009D157C"/>
    <w:rsid w:val="009D66B5"/>
    <w:rsid w:val="009E5389"/>
    <w:rsid w:val="009E764D"/>
    <w:rsid w:val="009F0992"/>
    <w:rsid w:val="009F0AF2"/>
    <w:rsid w:val="009F4720"/>
    <w:rsid w:val="00A0094C"/>
    <w:rsid w:val="00A01052"/>
    <w:rsid w:val="00A023E6"/>
    <w:rsid w:val="00A05CC6"/>
    <w:rsid w:val="00A21014"/>
    <w:rsid w:val="00A2199E"/>
    <w:rsid w:val="00A25DB2"/>
    <w:rsid w:val="00A3661E"/>
    <w:rsid w:val="00A36817"/>
    <w:rsid w:val="00A371C5"/>
    <w:rsid w:val="00A406A4"/>
    <w:rsid w:val="00A43C6B"/>
    <w:rsid w:val="00A44AB2"/>
    <w:rsid w:val="00A503CA"/>
    <w:rsid w:val="00A50E65"/>
    <w:rsid w:val="00A50F0D"/>
    <w:rsid w:val="00A54F1D"/>
    <w:rsid w:val="00A63A08"/>
    <w:rsid w:val="00A65853"/>
    <w:rsid w:val="00A65A5B"/>
    <w:rsid w:val="00A74E80"/>
    <w:rsid w:val="00A77F59"/>
    <w:rsid w:val="00A872BD"/>
    <w:rsid w:val="00A90003"/>
    <w:rsid w:val="00A9042F"/>
    <w:rsid w:val="00A92631"/>
    <w:rsid w:val="00A9359A"/>
    <w:rsid w:val="00A9498A"/>
    <w:rsid w:val="00AA1A49"/>
    <w:rsid w:val="00AA2250"/>
    <w:rsid w:val="00AA4BCD"/>
    <w:rsid w:val="00AA749F"/>
    <w:rsid w:val="00AB5004"/>
    <w:rsid w:val="00AB5EC1"/>
    <w:rsid w:val="00AC0067"/>
    <w:rsid w:val="00AC350A"/>
    <w:rsid w:val="00AC6429"/>
    <w:rsid w:val="00AD1FFD"/>
    <w:rsid w:val="00AE018E"/>
    <w:rsid w:val="00AE08C5"/>
    <w:rsid w:val="00AE0B5D"/>
    <w:rsid w:val="00AE5EBA"/>
    <w:rsid w:val="00AE78B9"/>
    <w:rsid w:val="00AE7EFB"/>
    <w:rsid w:val="00AF0F2D"/>
    <w:rsid w:val="00B107B1"/>
    <w:rsid w:val="00B129A3"/>
    <w:rsid w:val="00B20F88"/>
    <w:rsid w:val="00B22CEA"/>
    <w:rsid w:val="00B32D39"/>
    <w:rsid w:val="00B3322B"/>
    <w:rsid w:val="00B33F5D"/>
    <w:rsid w:val="00B357C4"/>
    <w:rsid w:val="00B41C32"/>
    <w:rsid w:val="00B42D18"/>
    <w:rsid w:val="00B46484"/>
    <w:rsid w:val="00B466A6"/>
    <w:rsid w:val="00B47C3E"/>
    <w:rsid w:val="00B55F4C"/>
    <w:rsid w:val="00B61267"/>
    <w:rsid w:val="00B62358"/>
    <w:rsid w:val="00B64222"/>
    <w:rsid w:val="00B64B91"/>
    <w:rsid w:val="00B678CF"/>
    <w:rsid w:val="00B67AC5"/>
    <w:rsid w:val="00B70918"/>
    <w:rsid w:val="00B730BA"/>
    <w:rsid w:val="00B80D93"/>
    <w:rsid w:val="00B8222C"/>
    <w:rsid w:val="00B841B1"/>
    <w:rsid w:val="00B84B50"/>
    <w:rsid w:val="00B92521"/>
    <w:rsid w:val="00B939E6"/>
    <w:rsid w:val="00B95A76"/>
    <w:rsid w:val="00B965FB"/>
    <w:rsid w:val="00BA055E"/>
    <w:rsid w:val="00BA2312"/>
    <w:rsid w:val="00BA23BF"/>
    <w:rsid w:val="00BA6938"/>
    <w:rsid w:val="00BA6DAF"/>
    <w:rsid w:val="00BA723A"/>
    <w:rsid w:val="00BB246F"/>
    <w:rsid w:val="00BB65A6"/>
    <w:rsid w:val="00BC1FE0"/>
    <w:rsid w:val="00BC60C8"/>
    <w:rsid w:val="00BC6528"/>
    <w:rsid w:val="00BC6D44"/>
    <w:rsid w:val="00BD34B9"/>
    <w:rsid w:val="00BD544C"/>
    <w:rsid w:val="00BD65AD"/>
    <w:rsid w:val="00BE0943"/>
    <w:rsid w:val="00BE3BD9"/>
    <w:rsid w:val="00BE6473"/>
    <w:rsid w:val="00BF3CC3"/>
    <w:rsid w:val="00BF4148"/>
    <w:rsid w:val="00BF5F9C"/>
    <w:rsid w:val="00C105AF"/>
    <w:rsid w:val="00C11C8B"/>
    <w:rsid w:val="00C153A6"/>
    <w:rsid w:val="00C157E4"/>
    <w:rsid w:val="00C202C9"/>
    <w:rsid w:val="00C204A8"/>
    <w:rsid w:val="00C266C6"/>
    <w:rsid w:val="00C35E78"/>
    <w:rsid w:val="00C412C3"/>
    <w:rsid w:val="00C42D99"/>
    <w:rsid w:val="00C54EB3"/>
    <w:rsid w:val="00C61E12"/>
    <w:rsid w:val="00C61E57"/>
    <w:rsid w:val="00C71FDF"/>
    <w:rsid w:val="00C72A76"/>
    <w:rsid w:val="00C72CC0"/>
    <w:rsid w:val="00C73E74"/>
    <w:rsid w:val="00C7532E"/>
    <w:rsid w:val="00C75688"/>
    <w:rsid w:val="00C77C42"/>
    <w:rsid w:val="00C80128"/>
    <w:rsid w:val="00C812BB"/>
    <w:rsid w:val="00C87727"/>
    <w:rsid w:val="00C913D3"/>
    <w:rsid w:val="00C92785"/>
    <w:rsid w:val="00C92C6D"/>
    <w:rsid w:val="00C93482"/>
    <w:rsid w:val="00C94FDA"/>
    <w:rsid w:val="00C95EAC"/>
    <w:rsid w:val="00C97F50"/>
    <w:rsid w:val="00CA26C6"/>
    <w:rsid w:val="00CA3681"/>
    <w:rsid w:val="00CB1EA7"/>
    <w:rsid w:val="00CB5CDE"/>
    <w:rsid w:val="00CB6F6A"/>
    <w:rsid w:val="00CB7332"/>
    <w:rsid w:val="00CC0EBD"/>
    <w:rsid w:val="00CC177A"/>
    <w:rsid w:val="00CC2953"/>
    <w:rsid w:val="00CC6FAB"/>
    <w:rsid w:val="00CC7B1E"/>
    <w:rsid w:val="00CD0296"/>
    <w:rsid w:val="00CD5D1B"/>
    <w:rsid w:val="00CE2CFE"/>
    <w:rsid w:val="00CE3154"/>
    <w:rsid w:val="00CE3808"/>
    <w:rsid w:val="00CE61FD"/>
    <w:rsid w:val="00CF0DC4"/>
    <w:rsid w:val="00CF19A1"/>
    <w:rsid w:val="00CF291A"/>
    <w:rsid w:val="00CF39AB"/>
    <w:rsid w:val="00CF45F8"/>
    <w:rsid w:val="00CF7517"/>
    <w:rsid w:val="00D01B7E"/>
    <w:rsid w:val="00D06EBB"/>
    <w:rsid w:val="00D1048C"/>
    <w:rsid w:val="00D242E5"/>
    <w:rsid w:val="00D25BF8"/>
    <w:rsid w:val="00D31011"/>
    <w:rsid w:val="00D3325B"/>
    <w:rsid w:val="00D42782"/>
    <w:rsid w:val="00D43E9C"/>
    <w:rsid w:val="00D449FD"/>
    <w:rsid w:val="00D44DE5"/>
    <w:rsid w:val="00D5188E"/>
    <w:rsid w:val="00D55448"/>
    <w:rsid w:val="00D60B68"/>
    <w:rsid w:val="00D66E03"/>
    <w:rsid w:val="00D7269E"/>
    <w:rsid w:val="00D73717"/>
    <w:rsid w:val="00D73CE3"/>
    <w:rsid w:val="00D8424C"/>
    <w:rsid w:val="00D879F9"/>
    <w:rsid w:val="00D9175C"/>
    <w:rsid w:val="00D935B3"/>
    <w:rsid w:val="00D936BC"/>
    <w:rsid w:val="00D945BB"/>
    <w:rsid w:val="00D95961"/>
    <w:rsid w:val="00DA01F5"/>
    <w:rsid w:val="00DA53A1"/>
    <w:rsid w:val="00DA7332"/>
    <w:rsid w:val="00DB3824"/>
    <w:rsid w:val="00DB422F"/>
    <w:rsid w:val="00DB7888"/>
    <w:rsid w:val="00DC129D"/>
    <w:rsid w:val="00DC1F82"/>
    <w:rsid w:val="00DC2ED7"/>
    <w:rsid w:val="00DC2F91"/>
    <w:rsid w:val="00DD32CA"/>
    <w:rsid w:val="00DD5F12"/>
    <w:rsid w:val="00DE0DCF"/>
    <w:rsid w:val="00DE1D11"/>
    <w:rsid w:val="00DE2A21"/>
    <w:rsid w:val="00DE6671"/>
    <w:rsid w:val="00DE7FB3"/>
    <w:rsid w:val="00DF02EF"/>
    <w:rsid w:val="00DF176A"/>
    <w:rsid w:val="00DF21B3"/>
    <w:rsid w:val="00DF30D3"/>
    <w:rsid w:val="00DF46F9"/>
    <w:rsid w:val="00DF58EF"/>
    <w:rsid w:val="00E043EE"/>
    <w:rsid w:val="00E05F6D"/>
    <w:rsid w:val="00E064B2"/>
    <w:rsid w:val="00E108B6"/>
    <w:rsid w:val="00E15619"/>
    <w:rsid w:val="00E213B5"/>
    <w:rsid w:val="00E21ECD"/>
    <w:rsid w:val="00E22863"/>
    <w:rsid w:val="00E233CA"/>
    <w:rsid w:val="00E351EF"/>
    <w:rsid w:val="00E37CF1"/>
    <w:rsid w:val="00E42A58"/>
    <w:rsid w:val="00E44B89"/>
    <w:rsid w:val="00E46F51"/>
    <w:rsid w:val="00E51124"/>
    <w:rsid w:val="00E51781"/>
    <w:rsid w:val="00E64401"/>
    <w:rsid w:val="00E65973"/>
    <w:rsid w:val="00E67005"/>
    <w:rsid w:val="00E713EC"/>
    <w:rsid w:val="00E71BBA"/>
    <w:rsid w:val="00E858DE"/>
    <w:rsid w:val="00E86242"/>
    <w:rsid w:val="00E8626C"/>
    <w:rsid w:val="00E8739A"/>
    <w:rsid w:val="00E91917"/>
    <w:rsid w:val="00EA39EE"/>
    <w:rsid w:val="00EA4F2F"/>
    <w:rsid w:val="00EB344C"/>
    <w:rsid w:val="00EB53AC"/>
    <w:rsid w:val="00EB59DE"/>
    <w:rsid w:val="00EB7721"/>
    <w:rsid w:val="00EC2C98"/>
    <w:rsid w:val="00EC76E9"/>
    <w:rsid w:val="00ED1F28"/>
    <w:rsid w:val="00ED558E"/>
    <w:rsid w:val="00EE0066"/>
    <w:rsid w:val="00EE3377"/>
    <w:rsid w:val="00EF0E1A"/>
    <w:rsid w:val="00EF2ADD"/>
    <w:rsid w:val="00EF5B5B"/>
    <w:rsid w:val="00EF6DFE"/>
    <w:rsid w:val="00F045FE"/>
    <w:rsid w:val="00F108F7"/>
    <w:rsid w:val="00F10AA2"/>
    <w:rsid w:val="00F11D8E"/>
    <w:rsid w:val="00F1564A"/>
    <w:rsid w:val="00F15D00"/>
    <w:rsid w:val="00F15FA4"/>
    <w:rsid w:val="00F20B2A"/>
    <w:rsid w:val="00F24059"/>
    <w:rsid w:val="00F36D7C"/>
    <w:rsid w:val="00F372C7"/>
    <w:rsid w:val="00F40B19"/>
    <w:rsid w:val="00F46F82"/>
    <w:rsid w:val="00F47A73"/>
    <w:rsid w:val="00F509D3"/>
    <w:rsid w:val="00F53236"/>
    <w:rsid w:val="00F53855"/>
    <w:rsid w:val="00F60CE8"/>
    <w:rsid w:val="00F64A6E"/>
    <w:rsid w:val="00F6567F"/>
    <w:rsid w:val="00F72F0E"/>
    <w:rsid w:val="00F73621"/>
    <w:rsid w:val="00F810B4"/>
    <w:rsid w:val="00F831EF"/>
    <w:rsid w:val="00F96E51"/>
    <w:rsid w:val="00FA7356"/>
    <w:rsid w:val="00FB3D8F"/>
    <w:rsid w:val="00FB6C83"/>
    <w:rsid w:val="00FB7FFB"/>
    <w:rsid w:val="00FC1A83"/>
    <w:rsid w:val="00FC4FCA"/>
    <w:rsid w:val="00FC598A"/>
    <w:rsid w:val="00FC666D"/>
    <w:rsid w:val="00FD0052"/>
    <w:rsid w:val="00FD3EF2"/>
    <w:rsid w:val="00FE2C31"/>
    <w:rsid w:val="00FE3CD9"/>
    <w:rsid w:val="00FE4525"/>
    <w:rsid w:val="00FF03B9"/>
    <w:rsid w:val="00FF3248"/>
    <w:rsid w:val="010F4962"/>
    <w:rsid w:val="019DAD43"/>
    <w:rsid w:val="01D14D28"/>
    <w:rsid w:val="020396F2"/>
    <w:rsid w:val="0274565D"/>
    <w:rsid w:val="02927755"/>
    <w:rsid w:val="03ADF0FE"/>
    <w:rsid w:val="04C36034"/>
    <w:rsid w:val="0615E2AA"/>
    <w:rsid w:val="062017E5"/>
    <w:rsid w:val="06385F1B"/>
    <w:rsid w:val="06415E0E"/>
    <w:rsid w:val="06ACABD1"/>
    <w:rsid w:val="06CB5E4C"/>
    <w:rsid w:val="06E596D8"/>
    <w:rsid w:val="080CEEC7"/>
    <w:rsid w:val="096DADF2"/>
    <w:rsid w:val="0989EA14"/>
    <w:rsid w:val="0A58BA1C"/>
    <w:rsid w:val="0A63519E"/>
    <w:rsid w:val="0A7D59EC"/>
    <w:rsid w:val="0AA20E6B"/>
    <w:rsid w:val="0B2497C9"/>
    <w:rsid w:val="0B5B35FC"/>
    <w:rsid w:val="0B71048C"/>
    <w:rsid w:val="0B9FEFA0"/>
    <w:rsid w:val="0D6BB648"/>
    <w:rsid w:val="0D96C19B"/>
    <w:rsid w:val="0E56253D"/>
    <w:rsid w:val="0EDB8790"/>
    <w:rsid w:val="0EE35EAC"/>
    <w:rsid w:val="0F2E4D1C"/>
    <w:rsid w:val="0F36C2C1"/>
    <w:rsid w:val="0F77DFC9"/>
    <w:rsid w:val="0F9214EE"/>
    <w:rsid w:val="0FB57FD8"/>
    <w:rsid w:val="0FC41E29"/>
    <w:rsid w:val="11AFA461"/>
    <w:rsid w:val="11D013A0"/>
    <w:rsid w:val="12C9B5B0"/>
    <w:rsid w:val="12DCDC9B"/>
    <w:rsid w:val="12F45552"/>
    <w:rsid w:val="1315102B"/>
    <w:rsid w:val="153115AC"/>
    <w:rsid w:val="154020A7"/>
    <w:rsid w:val="159E0590"/>
    <w:rsid w:val="160BB134"/>
    <w:rsid w:val="162C5937"/>
    <w:rsid w:val="1631C59D"/>
    <w:rsid w:val="1683899B"/>
    <w:rsid w:val="16960E5A"/>
    <w:rsid w:val="1699C738"/>
    <w:rsid w:val="17133BE8"/>
    <w:rsid w:val="17573BFB"/>
    <w:rsid w:val="1760A299"/>
    <w:rsid w:val="17C43733"/>
    <w:rsid w:val="1845779F"/>
    <w:rsid w:val="1847370B"/>
    <w:rsid w:val="185E9FFC"/>
    <w:rsid w:val="1894801A"/>
    <w:rsid w:val="19722081"/>
    <w:rsid w:val="199A35F2"/>
    <w:rsid w:val="1A18D60C"/>
    <w:rsid w:val="1AAC7595"/>
    <w:rsid w:val="1BB10EB8"/>
    <w:rsid w:val="1D0DACFA"/>
    <w:rsid w:val="1D4DCCDA"/>
    <w:rsid w:val="1DD11E4A"/>
    <w:rsid w:val="1F49AC02"/>
    <w:rsid w:val="1F74A0AB"/>
    <w:rsid w:val="1F8B3038"/>
    <w:rsid w:val="1FCBC2EC"/>
    <w:rsid w:val="1FD2D85A"/>
    <w:rsid w:val="20114384"/>
    <w:rsid w:val="2067E0D4"/>
    <w:rsid w:val="20AF9B90"/>
    <w:rsid w:val="20F0A472"/>
    <w:rsid w:val="2138379D"/>
    <w:rsid w:val="218A3990"/>
    <w:rsid w:val="21BFD9C8"/>
    <w:rsid w:val="21ED58C7"/>
    <w:rsid w:val="22C8A5A8"/>
    <w:rsid w:val="22E01CD8"/>
    <w:rsid w:val="2330B106"/>
    <w:rsid w:val="2492522C"/>
    <w:rsid w:val="25564471"/>
    <w:rsid w:val="25F1C69C"/>
    <w:rsid w:val="263C719F"/>
    <w:rsid w:val="2667F115"/>
    <w:rsid w:val="26808508"/>
    <w:rsid w:val="26D048BB"/>
    <w:rsid w:val="293635FF"/>
    <w:rsid w:val="29432F67"/>
    <w:rsid w:val="29839C7D"/>
    <w:rsid w:val="2A4AAD48"/>
    <w:rsid w:val="2A7353EE"/>
    <w:rsid w:val="2A80CAF0"/>
    <w:rsid w:val="2A8F4486"/>
    <w:rsid w:val="2AB7B884"/>
    <w:rsid w:val="2B2E0DD5"/>
    <w:rsid w:val="2B60FF8D"/>
    <w:rsid w:val="2B649BBD"/>
    <w:rsid w:val="2BBBCEBC"/>
    <w:rsid w:val="2C86FF1E"/>
    <w:rsid w:val="2D615656"/>
    <w:rsid w:val="2EFF81C2"/>
    <w:rsid w:val="2FA57783"/>
    <w:rsid w:val="2FC8DE8B"/>
    <w:rsid w:val="30A429B8"/>
    <w:rsid w:val="311A00DC"/>
    <w:rsid w:val="31268BB3"/>
    <w:rsid w:val="31A46097"/>
    <w:rsid w:val="324C1E2A"/>
    <w:rsid w:val="32F28581"/>
    <w:rsid w:val="330B0C87"/>
    <w:rsid w:val="330F5203"/>
    <w:rsid w:val="33642E3E"/>
    <w:rsid w:val="339878F1"/>
    <w:rsid w:val="33A1F65F"/>
    <w:rsid w:val="3418C7D4"/>
    <w:rsid w:val="34488EFB"/>
    <w:rsid w:val="346AD442"/>
    <w:rsid w:val="34AC8388"/>
    <w:rsid w:val="34CBED49"/>
    <w:rsid w:val="35331026"/>
    <w:rsid w:val="3614B907"/>
    <w:rsid w:val="370E2B96"/>
    <w:rsid w:val="37989678"/>
    <w:rsid w:val="38037FC4"/>
    <w:rsid w:val="382E826C"/>
    <w:rsid w:val="3892C1A2"/>
    <w:rsid w:val="3977C19C"/>
    <w:rsid w:val="397EA393"/>
    <w:rsid w:val="39B9CB19"/>
    <w:rsid w:val="3AEBE7C3"/>
    <w:rsid w:val="3C4410F2"/>
    <w:rsid w:val="3C933107"/>
    <w:rsid w:val="3D20E056"/>
    <w:rsid w:val="3D631F90"/>
    <w:rsid w:val="3DE72DA4"/>
    <w:rsid w:val="3E1FCAEC"/>
    <w:rsid w:val="3EF9B3B7"/>
    <w:rsid w:val="3F2AF83D"/>
    <w:rsid w:val="3FB04FB0"/>
    <w:rsid w:val="4029B0B4"/>
    <w:rsid w:val="4089409D"/>
    <w:rsid w:val="40B91884"/>
    <w:rsid w:val="40C51AF2"/>
    <w:rsid w:val="411825AE"/>
    <w:rsid w:val="415F5934"/>
    <w:rsid w:val="42BF9C2A"/>
    <w:rsid w:val="43863AB4"/>
    <w:rsid w:val="4466AADE"/>
    <w:rsid w:val="451946A2"/>
    <w:rsid w:val="4685CEFA"/>
    <w:rsid w:val="48BFB286"/>
    <w:rsid w:val="48EBCE15"/>
    <w:rsid w:val="492925D0"/>
    <w:rsid w:val="492B6877"/>
    <w:rsid w:val="496A6B19"/>
    <w:rsid w:val="49CDE75C"/>
    <w:rsid w:val="49CDF0AA"/>
    <w:rsid w:val="49CEDBC9"/>
    <w:rsid w:val="4A4A6257"/>
    <w:rsid w:val="4B127EDC"/>
    <w:rsid w:val="4B388544"/>
    <w:rsid w:val="4B6180A6"/>
    <w:rsid w:val="4B630C82"/>
    <w:rsid w:val="4B873031"/>
    <w:rsid w:val="4CE9EB45"/>
    <w:rsid w:val="4DA702B5"/>
    <w:rsid w:val="4E8A1021"/>
    <w:rsid w:val="4F638DEF"/>
    <w:rsid w:val="506C5A2D"/>
    <w:rsid w:val="50AB6B35"/>
    <w:rsid w:val="522681C5"/>
    <w:rsid w:val="526952E5"/>
    <w:rsid w:val="52CC4F87"/>
    <w:rsid w:val="53875F28"/>
    <w:rsid w:val="53D96B3A"/>
    <w:rsid w:val="53EBE7F5"/>
    <w:rsid w:val="5424CDE4"/>
    <w:rsid w:val="54CB3143"/>
    <w:rsid w:val="5548AE75"/>
    <w:rsid w:val="55828524"/>
    <w:rsid w:val="5593A44D"/>
    <w:rsid w:val="55B2E751"/>
    <w:rsid w:val="55FB8BED"/>
    <w:rsid w:val="57403E70"/>
    <w:rsid w:val="57AE1157"/>
    <w:rsid w:val="57C4F4BC"/>
    <w:rsid w:val="584DB127"/>
    <w:rsid w:val="58A84A3F"/>
    <w:rsid w:val="597ADF6D"/>
    <w:rsid w:val="59BF06AC"/>
    <w:rsid w:val="5A4D4827"/>
    <w:rsid w:val="5AA10312"/>
    <w:rsid w:val="5AAC81FA"/>
    <w:rsid w:val="5AFA14A2"/>
    <w:rsid w:val="5B9EA460"/>
    <w:rsid w:val="5BBE26A9"/>
    <w:rsid w:val="5C7F75D2"/>
    <w:rsid w:val="5CEA796F"/>
    <w:rsid w:val="5D100662"/>
    <w:rsid w:val="5DE44E8E"/>
    <w:rsid w:val="5DE4EF18"/>
    <w:rsid w:val="5E9CAAE8"/>
    <w:rsid w:val="5EDAF297"/>
    <w:rsid w:val="5F116A8D"/>
    <w:rsid w:val="5F60E466"/>
    <w:rsid w:val="5FF9C831"/>
    <w:rsid w:val="60221A31"/>
    <w:rsid w:val="60CA6AFD"/>
    <w:rsid w:val="60F42E41"/>
    <w:rsid w:val="615BE724"/>
    <w:rsid w:val="615F9D2F"/>
    <w:rsid w:val="6162EFE0"/>
    <w:rsid w:val="6178C69A"/>
    <w:rsid w:val="61C9F84F"/>
    <w:rsid w:val="62524415"/>
    <w:rsid w:val="629097A2"/>
    <w:rsid w:val="6306564C"/>
    <w:rsid w:val="6359FE51"/>
    <w:rsid w:val="63B934E2"/>
    <w:rsid w:val="64664CAE"/>
    <w:rsid w:val="652F1A84"/>
    <w:rsid w:val="66C8AF48"/>
    <w:rsid w:val="6730E248"/>
    <w:rsid w:val="6739AC81"/>
    <w:rsid w:val="67455422"/>
    <w:rsid w:val="67F333C0"/>
    <w:rsid w:val="6910F4B7"/>
    <w:rsid w:val="6A1E757A"/>
    <w:rsid w:val="6A2FA198"/>
    <w:rsid w:val="6A320743"/>
    <w:rsid w:val="6A7485C6"/>
    <w:rsid w:val="6AA3970D"/>
    <w:rsid w:val="6B4BE7D9"/>
    <w:rsid w:val="6BB814D9"/>
    <w:rsid w:val="6BE8D164"/>
    <w:rsid w:val="6BF1435E"/>
    <w:rsid w:val="6C86DDC8"/>
    <w:rsid w:val="6CAA23BE"/>
    <w:rsid w:val="6CD0917F"/>
    <w:rsid w:val="6D40835C"/>
    <w:rsid w:val="6D754E20"/>
    <w:rsid w:val="6DB8A6B7"/>
    <w:rsid w:val="6E25ADBB"/>
    <w:rsid w:val="6EA70526"/>
    <w:rsid w:val="6EF2FDF6"/>
    <w:rsid w:val="6EFAC2C0"/>
    <w:rsid w:val="6F60EC3D"/>
    <w:rsid w:val="6F61E02D"/>
    <w:rsid w:val="701BBB75"/>
    <w:rsid w:val="702DACA3"/>
    <w:rsid w:val="70A27444"/>
    <w:rsid w:val="70DD18B4"/>
    <w:rsid w:val="71FC2EA0"/>
    <w:rsid w:val="7296D1AD"/>
    <w:rsid w:val="72BC2313"/>
    <w:rsid w:val="73114D04"/>
    <w:rsid w:val="7395DC10"/>
    <w:rsid w:val="73FAA6E7"/>
    <w:rsid w:val="740F2E39"/>
    <w:rsid w:val="749F221A"/>
    <w:rsid w:val="75C079E5"/>
    <w:rsid w:val="75FCC73C"/>
    <w:rsid w:val="76C0E44A"/>
    <w:rsid w:val="76C563D6"/>
    <w:rsid w:val="781428BA"/>
    <w:rsid w:val="78359113"/>
    <w:rsid w:val="78AA288B"/>
    <w:rsid w:val="78D8C67E"/>
    <w:rsid w:val="797B9973"/>
    <w:rsid w:val="7BAA5D42"/>
    <w:rsid w:val="7C3C62DB"/>
    <w:rsid w:val="7C47594C"/>
    <w:rsid w:val="7D013A6C"/>
    <w:rsid w:val="7D16AB3D"/>
    <w:rsid w:val="7D312C39"/>
    <w:rsid w:val="7D915483"/>
    <w:rsid w:val="7E067794"/>
    <w:rsid w:val="7ECD4747"/>
    <w:rsid w:val="7EECB1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33"/>
    <w:pPr>
      <w:spacing w:after="0" w:line="240" w:lineRule="auto"/>
    </w:pPr>
    <w:rPr>
      <w:rFonts w:ascii="Georgia" w:hAnsi="Georg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3D33"/>
  </w:style>
  <w:style w:type="paragraph" w:styleId="ListParagraph">
    <w:name w:val="List Paragraph"/>
    <w:basedOn w:val="Normal"/>
    <w:uiPriority w:val="34"/>
    <w:qFormat/>
    <w:rsid w:val="00333D3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08B2"/>
    <w:rPr>
      <w:sz w:val="16"/>
      <w:szCs w:val="16"/>
    </w:rPr>
  </w:style>
  <w:style w:type="paragraph" w:styleId="CommentText">
    <w:name w:val="annotation text"/>
    <w:basedOn w:val="Normal"/>
    <w:link w:val="CommentTextChar"/>
    <w:uiPriority w:val="99"/>
    <w:unhideWhenUsed/>
    <w:rsid w:val="009308B2"/>
    <w:rPr>
      <w:sz w:val="20"/>
      <w:szCs w:val="20"/>
    </w:rPr>
  </w:style>
  <w:style w:type="character" w:customStyle="1" w:styleId="CommentTextChar">
    <w:name w:val="Comment Text Char"/>
    <w:basedOn w:val="DefaultParagraphFont"/>
    <w:link w:val="CommentText"/>
    <w:uiPriority w:val="99"/>
    <w:rsid w:val="009308B2"/>
    <w:rPr>
      <w:rFonts w:ascii="Georgia"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08B2"/>
    <w:rPr>
      <w:b/>
      <w:bCs/>
    </w:rPr>
  </w:style>
  <w:style w:type="character" w:customStyle="1" w:styleId="CommentSubjectChar">
    <w:name w:val="Comment Subject Char"/>
    <w:basedOn w:val="CommentTextChar"/>
    <w:link w:val="CommentSubject"/>
    <w:uiPriority w:val="99"/>
    <w:semiHidden/>
    <w:rsid w:val="009308B2"/>
    <w:rPr>
      <w:rFonts w:ascii="Georgia" w:hAnsi="Georgia" w:cs="Times New Roman"/>
      <w:b/>
      <w:bCs/>
      <w:sz w:val="20"/>
      <w:szCs w:val="20"/>
      <w:lang w:eastAsia="en-GB"/>
    </w:rPr>
  </w:style>
  <w:style w:type="paragraph" w:styleId="BalloonText">
    <w:name w:val="Balloon Text"/>
    <w:basedOn w:val="Normal"/>
    <w:link w:val="BalloonTextChar"/>
    <w:uiPriority w:val="99"/>
    <w:semiHidden/>
    <w:unhideWhenUsed/>
    <w:rsid w:val="0093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B2"/>
    <w:rPr>
      <w:rFonts w:ascii="Segoe UI" w:hAnsi="Segoe UI" w:cs="Segoe UI"/>
      <w:sz w:val="18"/>
      <w:szCs w:val="18"/>
      <w:lang w:eastAsia="en-GB"/>
    </w:rPr>
  </w:style>
  <w:style w:type="paragraph" w:styleId="Header">
    <w:name w:val="header"/>
    <w:basedOn w:val="Normal"/>
    <w:link w:val="HeaderChar"/>
    <w:uiPriority w:val="99"/>
    <w:unhideWhenUsed/>
    <w:rsid w:val="00896475"/>
    <w:pPr>
      <w:tabs>
        <w:tab w:val="center" w:pos="4680"/>
        <w:tab w:val="right" w:pos="9360"/>
      </w:tabs>
    </w:pPr>
  </w:style>
  <w:style w:type="character" w:customStyle="1" w:styleId="HeaderChar">
    <w:name w:val="Header Char"/>
    <w:basedOn w:val="DefaultParagraphFont"/>
    <w:link w:val="Header"/>
    <w:uiPriority w:val="99"/>
    <w:rsid w:val="00896475"/>
    <w:rPr>
      <w:rFonts w:ascii="Georgia" w:hAnsi="Georgia" w:cs="Times New Roman"/>
      <w:lang w:eastAsia="en-GB"/>
    </w:rPr>
  </w:style>
  <w:style w:type="paragraph" w:styleId="Footer">
    <w:name w:val="footer"/>
    <w:basedOn w:val="Normal"/>
    <w:link w:val="FooterChar"/>
    <w:uiPriority w:val="99"/>
    <w:unhideWhenUsed/>
    <w:rsid w:val="00896475"/>
    <w:pPr>
      <w:tabs>
        <w:tab w:val="center" w:pos="4680"/>
        <w:tab w:val="right" w:pos="9360"/>
      </w:tabs>
    </w:pPr>
  </w:style>
  <w:style w:type="character" w:customStyle="1" w:styleId="FooterChar">
    <w:name w:val="Footer Char"/>
    <w:basedOn w:val="DefaultParagraphFont"/>
    <w:link w:val="Footer"/>
    <w:uiPriority w:val="99"/>
    <w:rsid w:val="00896475"/>
    <w:rPr>
      <w:rFonts w:ascii="Georgia" w:hAnsi="Georgia" w:cs="Times New Roman"/>
      <w:lang w:eastAsia="en-GB"/>
    </w:rPr>
  </w:style>
  <w:style w:type="paragraph" w:styleId="Revision">
    <w:name w:val="Revision"/>
    <w:hidden/>
    <w:uiPriority w:val="99"/>
    <w:semiHidden/>
    <w:rsid w:val="008453A8"/>
    <w:pPr>
      <w:spacing w:after="0" w:line="240" w:lineRule="auto"/>
    </w:pPr>
    <w:rPr>
      <w:rFonts w:ascii="Georgia" w:hAnsi="Georgia" w:cs="Times New Roman"/>
      <w:lang w:eastAsia="en-GB"/>
    </w:rPr>
  </w:style>
  <w:style w:type="table" w:styleId="TableGrid">
    <w:name w:val="Table Grid"/>
    <w:basedOn w:val="TableNormal"/>
    <w:uiPriority w:val="39"/>
    <w:rsid w:val="00D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687F"/>
  </w:style>
  <w:style w:type="character" w:styleId="Mention">
    <w:name w:val="Mention"/>
    <w:basedOn w:val="DefaultParagraphFont"/>
    <w:uiPriority w:val="99"/>
    <w:unhideWhenUsed/>
    <w:rsid w:val="00B95A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378">
      <w:bodyDiv w:val="1"/>
      <w:marLeft w:val="0"/>
      <w:marRight w:val="0"/>
      <w:marTop w:val="0"/>
      <w:marBottom w:val="0"/>
      <w:divBdr>
        <w:top w:val="none" w:sz="0" w:space="0" w:color="auto"/>
        <w:left w:val="none" w:sz="0" w:space="0" w:color="auto"/>
        <w:bottom w:val="none" w:sz="0" w:space="0" w:color="auto"/>
        <w:right w:val="none" w:sz="0" w:space="0" w:color="auto"/>
      </w:divBdr>
      <w:divsChild>
        <w:div w:id="260141257">
          <w:marLeft w:val="0"/>
          <w:marRight w:val="0"/>
          <w:marTop w:val="0"/>
          <w:marBottom w:val="0"/>
          <w:divBdr>
            <w:top w:val="none" w:sz="0" w:space="0" w:color="auto"/>
            <w:left w:val="none" w:sz="0" w:space="0" w:color="auto"/>
            <w:bottom w:val="none" w:sz="0" w:space="0" w:color="auto"/>
            <w:right w:val="none" w:sz="0" w:space="0" w:color="auto"/>
          </w:divBdr>
          <w:divsChild>
            <w:div w:id="179469378">
              <w:marLeft w:val="0"/>
              <w:marRight w:val="0"/>
              <w:marTop w:val="30"/>
              <w:marBottom w:val="30"/>
              <w:divBdr>
                <w:top w:val="none" w:sz="0" w:space="0" w:color="auto"/>
                <w:left w:val="none" w:sz="0" w:space="0" w:color="auto"/>
                <w:bottom w:val="none" w:sz="0" w:space="0" w:color="auto"/>
                <w:right w:val="none" w:sz="0" w:space="0" w:color="auto"/>
              </w:divBdr>
              <w:divsChild>
                <w:div w:id="47457582">
                  <w:marLeft w:val="0"/>
                  <w:marRight w:val="0"/>
                  <w:marTop w:val="0"/>
                  <w:marBottom w:val="0"/>
                  <w:divBdr>
                    <w:top w:val="none" w:sz="0" w:space="0" w:color="auto"/>
                    <w:left w:val="none" w:sz="0" w:space="0" w:color="auto"/>
                    <w:bottom w:val="none" w:sz="0" w:space="0" w:color="auto"/>
                    <w:right w:val="none" w:sz="0" w:space="0" w:color="auto"/>
                  </w:divBdr>
                  <w:divsChild>
                    <w:div w:id="1200510979">
                      <w:marLeft w:val="0"/>
                      <w:marRight w:val="0"/>
                      <w:marTop w:val="0"/>
                      <w:marBottom w:val="0"/>
                      <w:divBdr>
                        <w:top w:val="none" w:sz="0" w:space="0" w:color="auto"/>
                        <w:left w:val="none" w:sz="0" w:space="0" w:color="auto"/>
                        <w:bottom w:val="none" w:sz="0" w:space="0" w:color="auto"/>
                        <w:right w:val="none" w:sz="0" w:space="0" w:color="auto"/>
                      </w:divBdr>
                    </w:div>
                  </w:divsChild>
                </w:div>
                <w:div w:id="68425671">
                  <w:marLeft w:val="0"/>
                  <w:marRight w:val="0"/>
                  <w:marTop w:val="0"/>
                  <w:marBottom w:val="0"/>
                  <w:divBdr>
                    <w:top w:val="none" w:sz="0" w:space="0" w:color="auto"/>
                    <w:left w:val="none" w:sz="0" w:space="0" w:color="auto"/>
                    <w:bottom w:val="none" w:sz="0" w:space="0" w:color="auto"/>
                    <w:right w:val="none" w:sz="0" w:space="0" w:color="auto"/>
                  </w:divBdr>
                  <w:divsChild>
                    <w:div w:id="50227417">
                      <w:marLeft w:val="0"/>
                      <w:marRight w:val="0"/>
                      <w:marTop w:val="0"/>
                      <w:marBottom w:val="0"/>
                      <w:divBdr>
                        <w:top w:val="none" w:sz="0" w:space="0" w:color="auto"/>
                        <w:left w:val="none" w:sz="0" w:space="0" w:color="auto"/>
                        <w:bottom w:val="none" w:sz="0" w:space="0" w:color="auto"/>
                        <w:right w:val="none" w:sz="0" w:space="0" w:color="auto"/>
                      </w:divBdr>
                    </w:div>
                  </w:divsChild>
                </w:div>
                <w:div w:id="196428565">
                  <w:marLeft w:val="0"/>
                  <w:marRight w:val="0"/>
                  <w:marTop w:val="0"/>
                  <w:marBottom w:val="0"/>
                  <w:divBdr>
                    <w:top w:val="none" w:sz="0" w:space="0" w:color="auto"/>
                    <w:left w:val="none" w:sz="0" w:space="0" w:color="auto"/>
                    <w:bottom w:val="none" w:sz="0" w:space="0" w:color="auto"/>
                    <w:right w:val="none" w:sz="0" w:space="0" w:color="auto"/>
                  </w:divBdr>
                  <w:divsChild>
                    <w:div w:id="580405226">
                      <w:marLeft w:val="0"/>
                      <w:marRight w:val="0"/>
                      <w:marTop w:val="0"/>
                      <w:marBottom w:val="0"/>
                      <w:divBdr>
                        <w:top w:val="none" w:sz="0" w:space="0" w:color="auto"/>
                        <w:left w:val="none" w:sz="0" w:space="0" w:color="auto"/>
                        <w:bottom w:val="none" w:sz="0" w:space="0" w:color="auto"/>
                        <w:right w:val="none" w:sz="0" w:space="0" w:color="auto"/>
                      </w:divBdr>
                    </w:div>
                  </w:divsChild>
                </w:div>
                <w:div w:id="310717770">
                  <w:marLeft w:val="0"/>
                  <w:marRight w:val="0"/>
                  <w:marTop w:val="0"/>
                  <w:marBottom w:val="0"/>
                  <w:divBdr>
                    <w:top w:val="none" w:sz="0" w:space="0" w:color="auto"/>
                    <w:left w:val="none" w:sz="0" w:space="0" w:color="auto"/>
                    <w:bottom w:val="none" w:sz="0" w:space="0" w:color="auto"/>
                    <w:right w:val="none" w:sz="0" w:space="0" w:color="auto"/>
                  </w:divBdr>
                  <w:divsChild>
                    <w:div w:id="2016809612">
                      <w:marLeft w:val="0"/>
                      <w:marRight w:val="0"/>
                      <w:marTop w:val="0"/>
                      <w:marBottom w:val="0"/>
                      <w:divBdr>
                        <w:top w:val="none" w:sz="0" w:space="0" w:color="auto"/>
                        <w:left w:val="none" w:sz="0" w:space="0" w:color="auto"/>
                        <w:bottom w:val="none" w:sz="0" w:space="0" w:color="auto"/>
                        <w:right w:val="none" w:sz="0" w:space="0" w:color="auto"/>
                      </w:divBdr>
                    </w:div>
                  </w:divsChild>
                </w:div>
                <w:div w:id="459303858">
                  <w:marLeft w:val="0"/>
                  <w:marRight w:val="0"/>
                  <w:marTop w:val="0"/>
                  <w:marBottom w:val="0"/>
                  <w:divBdr>
                    <w:top w:val="none" w:sz="0" w:space="0" w:color="auto"/>
                    <w:left w:val="none" w:sz="0" w:space="0" w:color="auto"/>
                    <w:bottom w:val="none" w:sz="0" w:space="0" w:color="auto"/>
                    <w:right w:val="none" w:sz="0" w:space="0" w:color="auto"/>
                  </w:divBdr>
                  <w:divsChild>
                    <w:div w:id="630330023">
                      <w:marLeft w:val="0"/>
                      <w:marRight w:val="0"/>
                      <w:marTop w:val="0"/>
                      <w:marBottom w:val="0"/>
                      <w:divBdr>
                        <w:top w:val="none" w:sz="0" w:space="0" w:color="auto"/>
                        <w:left w:val="none" w:sz="0" w:space="0" w:color="auto"/>
                        <w:bottom w:val="none" w:sz="0" w:space="0" w:color="auto"/>
                        <w:right w:val="none" w:sz="0" w:space="0" w:color="auto"/>
                      </w:divBdr>
                    </w:div>
                  </w:divsChild>
                </w:div>
                <w:div w:id="612446011">
                  <w:marLeft w:val="0"/>
                  <w:marRight w:val="0"/>
                  <w:marTop w:val="0"/>
                  <w:marBottom w:val="0"/>
                  <w:divBdr>
                    <w:top w:val="none" w:sz="0" w:space="0" w:color="auto"/>
                    <w:left w:val="none" w:sz="0" w:space="0" w:color="auto"/>
                    <w:bottom w:val="none" w:sz="0" w:space="0" w:color="auto"/>
                    <w:right w:val="none" w:sz="0" w:space="0" w:color="auto"/>
                  </w:divBdr>
                  <w:divsChild>
                    <w:div w:id="1896232277">
                      <w:marLeft w:val="0"/>
                      <w:marRight w:val="0"/>
                      <w:marTop w:val="0"/>
                      <w:marBottom w:val="0"/>
                      <w:divBdr>
                        <w:top w:val="none" w:sz="0" w:space="0" w:color="auto"/>
                        <w:left w:val="none" w:sz="0" w:space="0" w:color="auto"/>
                        <w:bottom w:val="none" w:sz="0" w:space="0" w:color="auto"/>
                        <w:right w:val="none" w:sz="0" w:space="0" w:color="auto"/>
                      </w:divBdr>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754007123">
                      <w:marLeft w:val="0"/>
                      <w:marRight w:val="0"/>
                      <w:marTop w:val="0"/>
                      <w:marBottom w:val="0"/>
                      <w:divBdr>
                        <w:top w:val="none" w:sz="0" w:space="0" w:color="auto"/>
                        <w:left w:val="none" w:sz="0" w:space="0" w:color="auto"/>
                        <w:bottom w:val="none" w:sz="0" w:space="0" w:color="auto"/>
                        <w:right w:val="none" w:sz="0" w:space="0" w:color="auto"/>
                      </w:divBdr>
                    </w:div>
                  </w:divsChild>
                </w:div>
                <w:div w:id="810632496">
                  <w:marLeft w:val="0"/>
                  <w:marRight w:val="0"/>
                  <w:marTop w:val="0"/>
                  <w:marBottom w:val="0"/>
                  <w:divBdr>
                    <w:top w:val="none" w:sz="0" w:space="0" w:color="auto"/>
                    <w:left w:val="none" w:sz="0" w:space="0" w:color="auto"/>
                    <w:bottom w:val="none" w:sz="0" w:space="0" w:color="auto"/>
                    <w:right w:val="none" w:sz="0" w:space="0" w:color="auto"/>
                  </w:divBdr>
                  <w:divsChild>
                    <w:div w:id="278536833">
                      <w:marLeft w:val="0"/>
                      <w:marRight w:val="0"/>
                      <w:marTop w:val="0"/>
                      <w:marBottom w:val="0"/>
                      <w:divBdr>
                        <w:top w:val="none" w:sz="0" w:space="0" w:color="auto"/>
                        <w:left w:val="none" w:sz="0" w:space="0" w:color="auto"/>
                        <w:bottom w:val="none" w:sz="0" w:space="0" w:color="auto"/>
                        <w:right w:val="none" w:sz="0" w:space="0" w:color="auto"/>
                      </w:divBdr>
                    </w:div>
                  </w:divsChild>
                </w:div>
                <w:div w:id="993530723">
                  <w:marLeft w:val="0"/>
                  <w:marRight w:val="0"/>
                  <w:marTop w:val="0"/>
                  <w:marBottom w:val="0"/>
                  <w:divBdr>
                    <w:top w:val="none" w:sz="0" w:space="0" w:color="auto"/>
                    <w:left w:val="none" w:sz="0" w:space="0" w:color="auto"/>
                    <w:bottom w:val="none" w:sz="0" w:space="0" w:color="auto"/>
                    <w:right w:val="none" w:sz="0" w:space="0" w:color="auto"/>
                  </w:divBdr>
                  <w:divsChild>
                    <w:div w:id="365446103">
                      <w:marLeft w:val="0"/>
                      <w:marRight w:val="0"/>
                      <w:marTop w:val="0"/>
                      <w:marBottom w:val="0"/>
                      <w:divBdr>
                        <w:top w:val="none" w:sz="0" w:space="0" w:color="auto"/>
                        <w:left w:val="none" w:sz="0" w:space="0" w:color="auto"/>
                        <w:bottom w:val="none" w:sz="0" w:space="0" w:color="auto"/>
                        <w:right w:val="none" w:sz="0" w:space="0" w:color="auto"/>
                      </w:divBdr>
                    </w:div>
                  </w:divsChild>
                </w:div>
                <w:div w:id="1039747171">
                  <w:marLeft w:val="0"/>
                  <w:marRight w:val="0"/>
                  <w:marTop w:val="0"/>
                  <w:marBottom w:val="0"/>
                  <w:divBdr>
                    <w:top w:val="none" w:sz="0" w:space="0" w:color="auto"/>
                    <w:left w:val="none" w:sz="0" w:space="0" w:color="auto"/>
                    <w:bottom w:val="none" w:sz="0" w:space="0" w:color="auto"/>
                    <w:right w:val="none" w:sz="0" w:space="0" w:color="auto"/>
                  </w:divBdr>
                  <w:divsChild>
                    <w:div w:id="1187711825">
                      <w:marLeft w:val="0"/>
                      <w:marRight w:val="0"/>
                      <w:marTop w:val="0"/>
                      <w:marBottom w:val="0"/>
                      <w:divBdr>
                        <w:top w:val="none" w:sz="0" w:space="0" w:color="auto"/>
                        <w:left w:val="none" w:sz="0" w:space="0" w:color="auto"/>
                        <w:bottom w:val="none" w:sz="0" w:space="0" w:color="auto"/>
                        <w:right w:val="none" w:sz="0" w:space="0" w:color="auto"/>
                      </w:divBdr>
                    </w:div>
                  </w:divsChild>
                </w:div>
                <w:div w:id="1251037557">
                  <w:marLeft w:val="0"/>
                  <w:marRight w:val="0"/>
                  <w:marTop w:val="0"/>
                  <w:marBottom w:val="0"/>
                  <w:divBdr>
                    <w:top w:val="none" w:sz="0" w:space="0" w:color="auto"/>
                    <w:left w:val="none" w:sz="0" w:space="0" w:color="auto"/>
                    <w:bottom w:val="none" w:sz="0" w:space="0" w:color="auto"/>
                    <w:right w:val="none" w:sz="0" w:space="0" w:color="auto"/>
                  </w:divBdr>
                  <w:divsChild>
                    <w:div w:id="285502323">
                      <w:marLeft w:val="0"/>
                      <w:marRight w:val="0"/>
                      <w:marTop w:val="0"/>
                      <w:marBottom w:val="0"/>
                      <w:divBdr>
                        <w:top w:val="none" w:sz="0" w:space="0" w:color="auto"/>
                        <w:left w:val="none" w:sz="0" w:space="0" w:color="auto"/>
                        <w:bottom w:val="none" w:sz="0" w:space="0" w:color="auto"/>
                        <w:right w:val="none" w:sz="0" w:space="0" w:color="auto"/>
                      </w:divBdr>
                    </w:div>
                  </w:divsChild>
                </w:div>
                <w:div w:id="1392003540">
                  <w:marLeft w:val="0"/>
                  <w:marRight w:val="0"/>
                  <w:marTop w:val="0"/>
                  <w:marBottom w:val="0"/>
                  <w:divBdr>
                    <w:top w:val="none" w:sz="0" w:space="0" w:color="auto"/>
                    <w:left w:val="none" w:sz="0" w:space="0" w:color="auto"/>
                    <w:bottom w:val="none" w:sz="0" w:space="0" w:color="auto"/>
                    <w:right w:val="none" w:sz="0" w:space="0" w:color="auto"/>
                  </w:divBdr>
                  <w:divsChild>
                    <w:div w:id="998852348">
                      <w:marLeft w:val="0"/>
                      <w:marRight w:val="0"/>
                      <w:marTop w:val="0"/>
                      <w:marBottom w:val="0"/>
                      <w:divBdr>
                        <w:top w:val="none" w:sz="0" w:space="0" w:color="auto"/>
                        <w:left w:val="none" w:sz="0" w:space="0" w:color="auto"/>
                        <w:bottom w:val="none" w:sz="0" w:space="0" w:color="auto"/>
                        <w:right w:val="none" w:sz="0" w:space="0" w:color="auto"/>
                      </w:divBdr>
                    </w:div>
                  </w:divsChild>
                </w:div>
                <w:div w:id="1669673461">
                  <w:marLeft w:val="0"/>
                  <w:marRight w:val="0"/>
                  <w:marTop w:val="0"/>
                  <w:marBottom w:val="0"/>
                  <w:divBdr>
                    <w:top w:val="none" w:sz="0" w:space="0" w:color="auto"/>
                    <w:left w:val="none" w:sz="0" w:space="0" w:color="auto"/>
                    <w:bottom w:val="none" w:sz="0" w:space="0" w:color="auto"/>
                    <w:right w:val="none" w:sz="0" w:space="0" w:color="auto"/>
                  </w:divBdr>
                  <w:divsChild>
                    <w:div w:id="199365112">
                      <w:marLeft w:val="0"/>
                      <w:marRight w:val="0"/>
                      <w:marTop w:val="0"/>
                      <w:marBottom w:val="0"/>
                      <w:divBdr>
                        <w:top w:val="none" w:sz="0" w:space="0" w:color="auto"/>
                        <w:left w:val="none" w:sz="0" w:space="0" w:color="auto"/>
                        <w:bottom w:val="none" w:sz="0" w:space="0" w:color="auto"/>
                        <w:right w:val="none" w:sz="0" w:space="0" w:color="auto"/>
                      </w:divBdr>
                    </w:div>
                  </w:divsChild>
                </w:div>
                <w:div w:id="1887643986">
                  <w:marLeft w:val="0"/>
                  <w:marRight w:val="0"/>
                  <w:marTop w:val="0"/>
                  <w:marBottom w:val="0"/>
                  <w:divBdr>
                    <w:top w:val="none" w:sz="0" w:space="0" w:color="auto"/>
                    <w:left w:val="none" w:sz="0" w:space="0" w:color="auto"/>
                    <w:bottom w:val="none" w:sz="0" w:space="0" w:color="auto"/>
                    <w:right w:val="none" w:sz="0" w:space="0" w:color="auto"/>
                  </w:divBdr>
                  <w:divsChild>
                    <w:div w:id="3710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273">
          <w:marLeft w:val="0"/>
          <w:marRight w:val="0"/>
          <w:marTop w:val="0"/>
          <w:marBottom w:val="0"/>
          <w:divBdr>
            <w:top w:val="none" w:sz="0" w:space="0" w:color="auto"/>
            <w:left w:val="none" w:sz="0" w:space="0" w:color="auto"/>
            <w:bottom w:val="none" w:sz="0" w:space="0" w:color="auto"/>
            <w:right w:val="none" w:sz="0" w:space="0" w:color="auto"/>
          </w:divBdr>
        </w:div>
      </w:divsChild>
    </w:div>
    <w:div w:id="256718425">
      <w:bodyDiv w:val="1"/>
      <w:marLeft w:val="0"/>
      <w:marRight w:val="0"/>
      <w:marTop w:val="0"/>
      <w:marBottom w:val="0"/>
      <w:divBdr>
        <w:top w:val="none" w:sz="0" w:space="0" w:color="auto"/>
        <w:left w:val="none" w:sz="0" w:space="0" w:color="auto"/>
        <w:bottom w:val="none" w:sz="0" w:space="0" w:color="auto"/>
        <w:right w:val="none" w:sz="0" w:space="0" w:color="auto"/>
      </w:divBdr>
      <w:divsChild>
        <w:div w:id="1568148738">
          <w:marLeft w:val="0"/>
          <w:marRight w:val="0"/>
          <w:marTop w:val="0"/>
          <w:marBottom w:val="0"/>
          <w:divBdr>
            <w:top w:val="none" w:sz="0" w:space="0" w:color="auto"/>
            <w:left w:val="none" w:sz="0" w:space="0" w:color="auto"/>
            <w:bottom w:val="none" w:sz="0" w:space="0" w:color="auto"/>
            <w:right w:val="none" w:sz="0" w:space="0" w:color="auto"/>
          </w:divBdr>
          <w:divsChild>
            <w:div w:id="622151881">
              <w:marLeft w:val="0"/>
              <w:marRight w:val="0"/>
              <w:marTop w:val="30"/>
              <w:marBottom w:val="30"/>
              <w:divBdr>
                <w:top w:val="none" w:sz="0" w:space="0" w:color="auto"/>
                <w:left w:val="none" w:sz="0" w:space="0" w:color="auto"/>
                <w:bottom w:val="none" w:sz="0" w:space="0" w:color="auto"/>
                <w:right w:val="none" w:sz="0" w:space="0" w:color="auto"/>
              </w:divBdr>
              <w:divsChild>
                <w:div w:id="75520332">
                  <w:marLeft w:val="0"/>
                  <w:marRight w:val="0"/>
                  <w:marTop w:val="0"/>
                  <w:marBottom w:val="0"/>
                  <w:divBdr>
                    <w:top w:val="none" w:sz="0" w:space="0" w:color="auto"/>
                    <w:left w:val="none" w:sz="0" w:space="0" w:color="auto"/>
                    <w:bottom w:val="none" w:sz="0" w:space="0" w:color="auto"/>
                    <w:right w:val="none" w:sz="0" w:space="0" w:color="auto"/>
                  </w:divBdr>
                  <w:divsChild>
                    <w:div w:id="1666277009">
                      <w:marLeft w:val="0"/>
                      <w:marRight w:val="0"/>
                      <w:marTop w:val="0"/>
                      <w:marBottom w:val="0"/>
                      <w:divBdr>
                        <w:top w:val="none" w:sz="0" w:space="0" w:color="auto"/>
                        <w:left w:val="none" w:sz="0" w:space="0" w:color="auto"/>
                        <w:bottom w:val="none" w:sz="0" w:space="0" w:color="auto"/>
                        <w:right w:val="none" w:sz="0" w:space="0" w:color="auto"/>
                      </w:divBdr>
                    </w:div>
                  </w:divsChild>
                </w:div>
                <w:div w:id="154152098">
                  <w:marLeft w:val="0"/>
                  <w:marRight w:val="0"/>
                  <w:marTop w:val="0"/>
                  <w:marBottom w:val="0"/>
                  <w:divBdr>
                    <w:top w:val="none" w:sz="0" w:space="0" w:color="auto"/>
                    <w:left w:val="none" w:sz="0" w:space="0" w:color="auto"/>
                    <w:bottom w:val="none" w:sz="0" w:space="0" w:color="auto"/>
                    <w:right w:val="none" w:sz="0" w:space="0" w:color="auto"/>
                  </w:divBdr>
                  <w:divsChild>
                    <w:div w:id="64182485">
                      <w:marLeft w:val="0"/>
                      <w:marRight w:val="0"/>
                      <w:marTop w:val="0"/>
                      <w:marBottom w:val="0"/>
                      <w:divBdr>
                        <w:top w:val="none" w:sz="0" w:space="0" w:color="auto"/>
                        <w:left w:val="none" w:sz="0" w:space="0" w:color="auto"/>
                        <w:bottom w:val="none" w:sz="0" w:space="0" w:color="auto"/>
                        <w:right w:val="none" w:sz="0" w:space="0" w:color="auto"/>
                      </w:divBdr>
                    </w:div>
                  </w:divsChild>
                </w:div>
                <w:div w:id="744180885">
                  <w:marLeft w:val="0"/>
                  <w:marRight w:val="0"/>
                  <w:marTop w:val="0"/>
                  <w:marBottom w:val="0"/>
                  <w:divBdr>
                    <w:top w:val="none" w:sz="0" w:space="0" w:color="auto"/>
                    <w:left w:val="none" w:sz="0" w:space="0" w:color="auto"/>
                    <w:bottom w:val="none" w:sz="0" w:space="0" w:color="auto"/>
                    <w:right w:val="none" w:sz="0" w:space="0" w:color="auto"/>
                  </w:divBdr>
                  <w:divsChild>
                    <w:div w:id="1003893705">
                      <w:marLeft w:val="0"/>
                      <w:marRight w:val="0"/>
                      <w:marTop w:val="0"/>
                      <w:marBottom w:val="0"/>
                      <w:divBdr>
                        <w:top w:val="none" w:sz="0" w:space="0" w:color="auto"/>
                        <w:left w:val="none" w:sz="0" w:space="0" w:color="auto"/>
                        <w:bottom w:val="none" w:sz="0" w:space="0" w:color="auto"/>
                        <w:right w:val="none" w:sz="0" w:space="0" w:color="auto"/>
                      </w:divBdr>
                    </w:div>
                  </w:divsChild>
                </w:div>
                <w:div w:id="776755927">
                  <w:marLeft w:val="0"/>
                  <w:marRight w:val="0"/>
                  <w:marTop w:val="0"/>
                  <w:marBottom w:val="0"/>
                  <w:divBdr>
                    <w:top w:val="none" w:sz="0" w:space="0" w:color="auto"/>
                    <w:left w:val="none" w:sz="0" w:space="0" w:color="auto"/>
                    <w:bottom w:val="none" w:sz="0" w:space="0" w:color="auto"/>
                    <w:right w:val="none" w:sz="0" w:space="0" w:color="auto"/>
                  </w:divBdr>
                  <w:divsChild>
                    <w:div w:id="317465463">
                      <w:marLeft w:val="0"/>
                      <w:marRight w:val="0"/>
                      <w:marTop w:val="0"/>
                      <w:marBottom w:val="0"/>
                      <w:divBdr>
                        <w:top w:val="none" w:sz="0" w:space="0" w:color="auto"/>
                        <w:left w:val="none" w:sz="0" w:space="0" w:color="auto"/>
                        <w:bottom w:val="none" w:sz="0" w:space="0" w:color="auto"/>
                        <w:right w:val="none" w:sz="0" w:space="0" w:color="auto"/>
                      </w:divBdr>
                    </w:div>
                  </w:divsChild>
                </w:div>
                <w:div w:id="921183650">
                  <w:marLeft w:val="0"/>
                  <w:marRight w:val="0"/>
                  <w:marTop w:val="0"/>
                  <w:marBottom w:val="0"/>
                  <w:divBdr>
                    <w:top w:val="none" w:sz="0" w:space="0" w:color="auto"/>
                    <w:left w:val="none" w:sz="0" w:space="0" w:color="auto"/>
                    <w:bottom w:val="none" w:sz="0" w:space="0" w:color="auto"/>
                    <w:right w:val="none" w:sz="0" w:space="0" w:color="auto"/>
                  </w:divBdr>
                  <w:divsChild>
                    <w:div w:id="1110969733">
                      <w:marLeft w:val="0"/>
                      <w:marRight w:val="0"/>
                      <w:marTop w:val="0"/>
                      <w:marBottom w:val="0"/>
                      <w:divBdr>
                        <w:top w:val="none" w:sz="0" w:space="0" w:color="auto"/>
                        <w:left w:val="none" w:sz="0" w:space="0" w:color="auto"/>
                        <w:bottom w:val="none" w:sz="0" w:space="0" w:color="auto"/>
                        <w:right w:val="none" w:sz="0" w:space="0" w:color="auto"/>
                      </w:divBdr>
                    </w:div>
                  </w:divsChild>
                </w:div>
                <w:div w:id="938097351">
                  <w:marLeft w:val="0"/>
                  <w:marRight w:val="0"/>
                  <w:marTop w:val="0"/>
                  <w:marBottom w:val="0"/>
                  <w:divBdr>
                    <w:top w:val="none" w:sz="0" w:space="0" w:color="auto"/>
                    <w:left w:val="none" w:sz="0" w:space="0" w:color="auto"/>
                    <w:bottom w:val="none" w:sz="0" w:space="0" w:color="auto"/>
                    <w:right w:val="none" w:sz="0" w:space="0" w:color="auto"/>
                  </w:divBdr>
                  <w:divsChild>
                    <w:div w:id="1891453438">
                      <w:marLeft w:val="0"/>
                      <w:marRight w:val="0"/>
                      <w:marTop w:val="0"/>
                      <w:marBottom w:val="0"/>
                      <w:divBdr>
                        <w:top w:val="none" w:sz="0" w:space="0" w:color="auto"/>
                        <w:left w:val="none" w:sz="0" w:space="0" w:color="auto"/>
                        <w:bottom w:val="none" w:sz="0" w:space="0" w:color="auto"/>
                        <w:right w:val="none" w:sz="0" w:space="0" w:color="auto"/>
                      </w:divBdr>
                    </w:div>
                  </w:divsChild>
                </w:div>
                <w:div w:id="1065109858">
                  <w:marLeft w:val="0"/>
                  <w:marRight w:val="0"/>
                  <w:marTop w:val="0"/>
                  <w:marBottom w:val="0"/>
                  <w:divBdr>
                    <w:top w:val="none" w:sz="0" w:space="0" w:color="auto"/>
                    <w:left w:val="none" w:sz="0" w:space="0" w:color="auto"/>
                    <w:bottom w:val="none" w:sz="0" w:space="0" w:color="auto"/>
                    <w:right w:val="none" w:sz="0" w:space="0" w:color="auto"/>
                  </w:divBdr>
                  <w:divsChild>
                    <w:div w:id="1226720192">
                      <w:marLeft w:val="0"/>
                      <w:marRight w:val="0"/>
                      <w:marTop w:val="0"/>
                      <w:marBottom w:val="0"/>
                      <w:divBdr>
                        <w:top w:val="none" w:sz="0" w:space="0" w:color="auto"/>
                        <w:left w:val="none" w:sz="0" w:space="0" w:color="auto"/>
                        <w:bottom w:val="none" w:sz="0" w:space="0" w:color="auto"/>
                        <w:right w:val="none" w:sz="0" w:space="0" w:color="auto"/>
                      </w:divBdr>
                    </w:div>
                  </w:divsChild>
                </w:div>
                <w:div w:id="1085609012">
                  <w:marLeft w:val="0"/>
                  <w:marRight w:val="0"/>
                  <w:marTop w:val="0"/>
                  <w:marBottom w:val="0"/>
                  <w:divBdr>
                    <w:top w:val="none" w:sz="0" w:space="0" w:color="auto"/>
                    <w:left w:val="none" w:sz="0" w:space="0" w:color="auto"/>
                    <w:bottom w:val="none" w:sz="0" w:space="0" w:color="auto"/>
                    <w:right w:val="none" w:sz="0" w:space="0" w:color="auto"/>
                  </w:divBdr>
                  <w:divsChild>
                    <w:div w:id="1253969749">
                      <w:marLeft w:val="0"/>
                      <w:marRight w:val="0"/>
                      <w:marTop w:val="0"/>
                      <w:marBottom w:val="0"/>
                      <w:divBdr>
                        <w:top w:val="none" w:sz="0" w:space="0" w:color="auto"/>
                        <w:left w:val="none" w:sz="0" w:space="0" w:color="auto"/>
                        <w:bottom w:val="none" w:sz="0" w:space="0" w:color="auto"/>
                        <w:right w:val="none" w:sz="0" w:space="0" w:color="auto"/>
                      </w:divBdr>
                    </w:div>
                  </w:divsChild>
                </w:div>
                <w:div w:id="1091203380">
                  <w:marLeft w:val="0"/>
                  <w:marRight w:val="0"/>
                  <w:marTop w:val="0"/>
                  <w:marBottom w:val="0"/>
                  <w:divBdr>
                    <w:top w:val="none" w:sz="0" w:space="0" w:color="auto"/>
                    <w:left w:val="none" w:sz="0" w:space="0" w:color="auto"/>
                    <w:bottom w:val="none" w:sz="0" w:space="0" w:color="auto"/>
                    <w:right w:val="none" w:sz="0" w:space="0" w:color="auto"/>
                  </w:divBdr>
                  <w:divsChild>
                    <w:div w:id="362443832">
                      <w:marLeft w:val="0"/>
                      <w:marRight w:val="0"/>
                      <w:marTop w:val="0"/>
                      <w:marBottom w:val="0"/>
                      <w:divBdr>
                        <w:top w:val="none" w:sz="0" w:space="0" w:color="auto"/>
                        <w:left w:val="none" w:sz="0" w:space="0" w:color="auto"/>
                        <w:bottom w:val="none" w:sz="0" w:space="0" w:color="auto"/>
                        <w:right w:val="none" w:sz="0" w:space="0" w:color="auto"/>
                      </w:divBdr>
                    </w:div>
                  </w:divsChild>
                </w:div>
                <w:div w:id="1616130854">
                  <w:marLeft w:val="0"/>
                  <w:marRight w:val="0"/>
                  <w:marTop w:val="0"/>
                  <w:marBottom w:val="0"/>
                  <w:divBdr>
                    <w:top w:val="none" w:sz="0" w:space="0" w:color="auto"/>
                    <w:left w:val="none" w:sz="0" w:space="0" w:color="auto"/>
                    <w:bottom w:val="none" w:sz="0" w:space="0" w:color="auto"/>
                    <w:right w:val="none" w:sz="0" w:space="0" w:color="auto"/>
                  </w:divBdr>
                  <w:divsChild>
                    <w:div w:id="1894152503">
                      <w:marLeft w:val="0"/>
                      <w:marRight w:val="0"/>
                      <w:marTop w:val="0"/>
                      <w:marBottom w:val="0"/>
                      <w:divBdr>
                        <w:top w:val="none" w:sz="0" w:space="0" w:color="auto"/>
                        <w:left w:val="none" w:sz="0" w:space="0" w:color="auto"/>
                        <w:bottom w:val="none" w:sz="0" w:space="0" w:color="auto"/>
                        <w:right w:val="none" w:sz="0" w:space="0" w:color="auto"/>
                      </w:divBdr>
                    </w:div>
                  </w:divsChild>
                </w:div>
                <w:div w:id="1750227888">
                  <w:marLeft w:val="0"/>
                  <w:marRight w:val="0"/>
                  <w:marTop w:val="0"/>
                  <w:marBottom w:val="0"/>
                  <w:divBdr>
                    <w:top w:val="none" w:sz="0" w:space="0" w:color="auto"/>
                    <w:left w:val="none" w:sz="0" w:space="0" w:color="auto"/>
                    <w:bottom w:val="none" w:sz="0" w:space="0" w:color="auto"/>
                    <w:right w:val="none" w:sz="0" w:space="0" w:color="auto"/>
                  </w:divBdr>
                  <w:divsChild>
                    <w:div w:id="2075547500">
                      <w:marLeft w:val="0"/>
                      <w:marRight w:val="0"/>
                      <w:marTop w:val="0"/>
                      <w:marBottom w:val="0"/>
                      <w:divBdr>
                        <w:top w:val="none" w:sz="0" w:space="0" w:color="auto"/>
                        <w:left w:val="none" w:sz="0" w:space="0" w:color="auto"/>
                        <w:bottom w:val="none" w:sz="0" w:space="0" w:color="auto"/>
                        <w:right w:val="none" w:sz="0" w:space="0" w:color="auto"/>
                      </w:divBdr>
                    </w:div>
                  </w:divsChild>
                </w:div>
                <w:div w:id="1819880104">
                  <w:marLeft w:val="0"/>
                  <w:marRight w:val="0"/>
                  <w:marTop w:val="0"/>
                  <w:marBottom w:val="0"/>
                  <w:divBdr>
                    <w:top w:val="none" w:sz="0" w:space="0" w:color="auto"/>
                    <w:left w:val="none" w:sz="0" w:space="0" w:color="auto"/>
                    <w:bottom w:val="none" w:sz="0" w:space="0" w:color="auto"/>
                    <w:right w:val="none" w:sz="0" w:space="0" w:color="auto"/>
                  </w:divBdr>
                  <w:divsChild>
                    <w:div w:id="419179049">
                      <w:marLeft w:val="0"/>
                      <w:marRight w:val="0"/>
                      <w:marTop w:val="0"/>
                      <w:marBottom w:val="0"/>
                      <w:divBdr>
                        <w:top w:val="none" w:sz="0" w:space="0" w:color="auto"/>
                        <w:left w:val="none" w:sz="0" w:space="0" w:color="auto"/>
                        <w:bottom w:val="none" w:sz="0" w:space="0" w:color="auto"/>
                        <w:right w:val="none" w:sz="0" w:space="0" w:color="auto"/>
                      </w:divBdr>
                    </w:div>
                  </w:divsChild>
                </w:div>
                <w:div w:id="1822194218">
                  <w:marLeft w:val="0"/>
                  <w:marRight w:val="0"/>
                  <w:marTop w:val="0"/>
                  <w:marBottom w:val="0"/>
                  <w:divBdr>
                    <w:top w:val="none" w:sz="0" w:space="0" w:color="auto"/>
                    <w:left w:val="none" w:sz="0" w:space="0" w:color="auto"/>
                    <w:bottom w:val="none" w:sz="0" w:space="0" w:color="auto"/>
                    <w:right w:val="none" w:sz="0" w:space="0" w:color="auto"/>
                  </w:divBdr>
                  <w:divsChild>
                    <w:div w:id="413093005">
                      <w:marLeft w:val="0"/>
                      <w:marRight w:val="0"/>
                      <w:marTop w:val="0"/>
                      <w:marBottom w:val="0"/>
                      <w:divBdr>
                        <w:top w:val="none" w:sz="0" w:space="0" w:color="auto"/>
                        <w:left w:val="none" w:sz="0" w:space="0" w:color="auto"/>
                        <w:bottom w:val="none" w:sz="0" w:space="0" w:color="auto"/>
                        <w:right w:val="none" w:sz="0" w:space="0" w:color="auto"/>
                      </w:divBdr>
                    </w:div>
                  </w:divsChild>
                </w:div>
                <w:div w:id="1967857649">
                  <w:marLeft w:val="0"/>
                  <w:marRight w:val="0"/>
                  <w:marTop w:val="0"/>
                  <w:marBottom w:val="0"/>
                  <w:divBdr>
                    <w:top w:val="none" w:sz="0" w:space="0" w:color="auto"/>
                    <w:left w:val="none" w:sz="0" w:space="0" w:color="auto"/>
                    <w:bottom w:val="none" w:sz="0" w:space="0" w:color="auto"/>
                    <w:right w:val="none" w:sz="0" w:space="0" w:color="auto"/>
                  </w:divBdr>
                  <w:divsChild>
                    <w:div w:id="18243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813">
          <w:marLeft w:val="0"/>
          <w:marRight w:val="0"/>
          <w:marTop w:val="0"/>
          <w:marBottom w:val="0"/>
          <w:divBdr>
            <w:top w:val="none" w:sz="0" w:space="0" w:color="auto"/>
            <w:left w:val="none" w:sz="0" w:space="0" w:color="auto"/>
            <w:bottom w:val="none" w:sz="0" w:space="0" w:color="auto"/>
            <w:right w:val="none" w:sz="0" w:space="0" w:color="auto"/>
          </w:divBdr>
        </w:div>
      </w:divsChild>
    </w:div>
    <w:div w:id="2142994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8763a-b268-49dc-a2c5-3ef1ab83c425">
      <Terms xmlns="http://schemas.microsoft.com/office/infopath/2007/PartnerControls"/>
    </lcf76f155ced4ddcb4097134ff3c332f>
    <HFDNotes xmlns="cd78763a-b268-49dc-a2c5-3ef1ab83c425" xsi:nil="true"/>
    <Reviewed xmlns="cd78763a-b268-49dc-a2c5-3ef1ab83c425"/>
    <Region xmlns="cd78763a-b268-49dc-a2c5-3ef1ab83c425" xsi:nil="true"/>
    <TaxCatchAll xmlns="98142154-8c2f-4d74-96ef-4a872fda75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F2B2E87AA589468605FB89BD8B5E58" ma:contentTypeVersion="22" ma:contentTypeDescription="Create a new document." ma:contentTypeScope="" ma:versionID="f2bfdad4a7115589e17d7156cc892fa8">
  <xsd:schema xmlns:xsd="http://www.w3.org/2001/XMLSchema" xmlns:xs="http://www.w3.org/2001/XMLSchema" xmlns:p="http://schemas.microsoft.com/office/2006/metadata/properties" xmlns:ns2="cd78763a-b268-49dc-a2c5-3ef1ab83c425" xmlns:ns3="98142154-8c2f-4d74-96ef-4a872fda751f" targetNamespace="http://schemas.microsoft.com/office/2006/metadata/properties" ma:root="true" ma:fieldsID="0ecc30e1ccb23b88738d4f7b62cf0b6a" ns2:_="" ns3:_="">
    <xsd:import namespace="cd78763a-b268-49dc-a2c5-3ef1ab83c425"/>
    <xsd:import namespace="98142154-8c2f-4d74-96ef-4a872fda751f"/>
    <xsd:element name="properties">
      <xsd:complexType>
        <xsd:sequence>
          <xsd:element name="documentManagement">
            <xsd:complexType>
              <xsd:all>
                <xsd:element ref="ns2:Reg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Reviewed"/>
                <xsd:element ref="ns2:HFD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763a-b268-49dc-a2c5-3ef1ab83c425"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Reviewed" ma:index="25" ma:displayName="Reviewed" ma:default="0" ma:format="Dropdown" ma:internalName="Reviewed">
      <xsd:simpleType>
        <xsd:restriction base="dms:Boolean"/>
      </xsd:simpleType>
    </xsd:element>
    <xsd:element name="HFDNotes" ma:index="26" nillable="true" ma:displayName="Sign-off status" ma:format="Dropdown" ma:internalName="HFD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42154-8c2f-4d74-96ef-4a872fda751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cc1ef81-e289-4c4b-89f0-f111aff8c217}" ma:internalName="TaxCatchAll" ma:showField="CatchAllData" ma:web="98142154-8c2f-4d74-96ef-4a872fda7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F0E57-21CF-49DB-BCB2-5205B61D52F9}">
  <ds:schemaRefs>
    <ds:schemaRef ds:uri="http://schemas.microsoft.com/sharepoint/v3/contenttype/forms"/>
  </ds:schemaRefs>
</ds:datastoreItem>
</file>

<file path=customXml/itemProps2.xml><?xml version="1.0" encoding="utf-8"?>
<ds:datastoreItem xmlns:ds="http://schemas.openxmlformats.org/officeDocument/2006/customXml" ds:itemID="{82BF3856-9A3D-4CA4-A172-3FAF6CD49EA2}">
  <ds:schemaRefs>
    <ds:schemaRef ds:uri="http://schemas.microsoft.com/office/2006/documentManagement/types"/>
    <ds:schemaRef ds:uri="cd78763a-b268-49dc-a2c5-3ef1ab83c425"/>
    <ds:schemaRef ds:uri="http://purl.org/dc/elements/1.1/"/>
    <ds:schemaRef ds:uri="http://schemas.microsoft.com/office/2006/metadata/properties"/>
    <ds:schemaRef ds:uri="http://schemas.openxmlformats.org/package/2006/metadata/core-properties"/>
    <ds:schemaRef ds:uri="98142154-8c2f-4d74-96ef-4a872fda751f"/>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A487A6-40C3-4F00-AF3B-6CAB3D8ACCF9}">
  <ds:schemaRefs>
    <ds:schemaRef ds:uri="http://schemas.openxmlformats.org/officeDocument/2006/bibliography"/>
  </ds:schemaRefs>
</ds:datastoreItem>
</file>

<file path=customXml/itemProps4.xml><?xml version="1.0" encoding="utf-8"?>
<ds:datastoreItem xmlns:ds="http://schemas.openxmlformats.org/officeDocument/2006/customXml" ds:itemID="{3D50262B-DBF1-4AAB-A478-D30362A7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763a-b268-49dc-a2c5-3ef1ab83c425"/>
    <ds:schemaRef ds:uri="98142154-8c2f-4d74-96ef-4a872fda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9254</Characters>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2023-11-29T15:14:00Z</dcterms:created>
  <dcterms:modified xsi:type="dcterms:W3CDTF">2023-11-29T15:14:00Z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0x01010005F2B2E87AA589468605FB89BD8B5E58</vt:lpwstr>
  </property>
</Properties>
</file>