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41B536B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576A4E28" w14:textId="77777777" w:rsidR="007043C7" w:rsidRDefault="007043C7" w:rsidP="00197AE7">
            <w:pPr>
              <w:pStyle w:val="NormalNoSpace"/>
              <w:jc w:val="center"/>
            </w:pPr>
          </w:p>
          <w:p w14:paraId="114C736E" w14:textId="77777777" w:rsidR="00A23D15" w:rsidRPr="00A23D15" w:rsidRDefault="00A23D15" w:rsidP="00A23D15"/>
          <w:p w14:paraId="1F7077E7" w14:textId="77777777" w:rsidR="00A23D15" w:rsidRDefault="00A23D15" w:rsidP="00A23D15">
            <w:pPr>
              <w:rPr>
                <w:caps w:val="0"/>
              </w:rPr>
            </w:pPr>
          </w:p>
          <w:p w14:paraId="01A02EB0" w14:textId="77777777" w:rsidR="00A23D15" w:rsidRDefault="00A23D15" w:rsidP="00A23D15">
            <w:pPr>
              <w:rPr>
                <w:caps w:val="0"/>
              </w:rPr>
            </w:pPr>
          </w:p>
          <w:p w14:paraId="1D81F436" w14:textId="77777777" w:rsidR="00A23D15" w:rsidRDefault="00A23D15" w:rsidP="00A23D15">
            <w:pPr>
              <w:rPr>
                <w:caps w:val="0"/>
              </w:rPr>
            </w:pPr>
          </w:p>
          <w:p w14:paraId="34310C3F" w14:textId="77777777" w:rsidR="00A23D15" w:rsidRDefault="00A23D15" w:rsidP="00A23D15">
            <w:pPr>
              <w:rPr>
                <w:caps w:val="0"/>
              </w:rPr>
            </w:pPr>
          </w:p>
          <w:p w14:paraId="3E9A54D5" w14:textId="1D828B91" w:rsidR="00A23D15" w:rsidRPr="00A23D15" w:rsidRDefault="00A23D15" w:rsidP="00A23D15"/>
        </w:tc>
      </w:tr>
    </w:tbl>
    <w:p w14:paraId="6000BAF5"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755B4FF4" w14:textId="77777777" w:rsidTr="006D7841">
        <w:trPr>
          <w:trHeight w:hRule="exact" w:val="2381"/>
        </w:trPr>
        <w:tc>
          <w:tcPr>
            <w:tcW w:w="1133" w:type="dxa"/>
          </w:tcPr>
          <w:p w14:paraId="171136DA" w14:textId="77777777" w:rsidR="00010133" w:rsidRDefault="00010133" w:rsidP="006D7841"/>
        </w:tc>
        <w:tc>
          <w:tcPr>
            <w:tcW w:w="9635" w:type="dxa"/>
          </w:tcPr>
          <w:p w14:paraId="0A72079D" w14:textId="77777777" w:rsidR="00010133" w:rsidRPr="00A23D15" w:rsidRDefault="00010133" w:rsidP="006D7841"/>
        </w:tc>
        <w:tc>
          <w:tcPr>
            <w:tcW w:w="1134" w:type="dxa"/>
          </w:tcPr>
          <w:p w14:paraId="539AD146" w14:textId="77777777" w:rsidR="00010133" w:rsidRDefault="00010133" w:rsidP="006D7841"/>
        </w:tc>
      </w:tr>
      <w:tr w:rsidR="00010133" w:rsidRPr="00A1759F" w14:paraId="109E61C7" w14:textId="77777777" w:rsidTr="006D7841">
        <w:trPr>
          <w:trHeight w:hRule="exact" w:val="3402"/>
        </w:trPr>
        <w:tc>
          <w:tcPr>
            <w:tcW w:w="1133" w:type="dxa"/>
            <w:vAlign w:val="center"/>
          </w:tcPr>
          <w:p w14:paraId="4B174890"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A23D15" w:rsidRPr="00A23D15" w14:paraId="31FEDF60" w14:textId="77777777" w:rsidTr="00CE665B">
              <w:trPr>
                <w:jc w:val="center"/>
              </w:trPr>
              <w:tc>
                <w:tcPr>
                  <w:tcW w:w="0" w:type="auto"/>
                  <w:vAlign w:val="center"/>
                </w:tcPr>
                <w:p w14:paraId="57479F24" w14:textId="62C243B3" w:rsidR="00010133" w:rsidRPr="00A23D15" w:rsidRDefault="006C32D0" w:rsidP="00A23D15">
                  <w:pPr>
                    <w:pStyle w:val="CoverPageTitle"/>
                    <w:framePr w:wrap="around" w:vAnchor="page" w:hAnchor="page" w:y="5127"/>
                    <w:suppressOverlap/>
                    <w:rPr>
                      <w:bCs w:val="0"/>
                      <w:color w:val="auto"/>
                      <w:sz w:val="48"/>
                      <w:szCs w:val="48"/>
                      <w:lang w:val="es-ES"/>
                    </w:rPr>
                  </w:pPr>
                  <w:r w:rsidRPr="00A23D15">
                    <w:rPr>
                      <w:bCs w:val="0"/>
                      <w:color w:val="auto"/>
                      <w:sz w:val="48"/>
                      <w:szCs w:val="48"/>
                      <w:lang w:val="es"/>
                    </w:rPr>
                    <w:t>Directrices para la auditoría anual de las subvenciones del Fondo Mundial</w:t>
                  </w:r>
                </w:p>
                <w:p w14:paraId="71B11851" w14:textId="77777777" w:rsidR="006C32D0" w:rsidRPr="00A23D15" w:rsidRDefault="00C86D6F" w:rsidP="00A23D15">
                  <w:pPr>
                    <w:pStyle w:val="CoverPageTitle"/>
                    <w:framePr w:wrap="around" w:vAnchor="page" w:hAnchor="page" w:y="5127"/>
                    <w:suppressOverlap/>
                    <w:rPr>
                      <w:b/>
                      <w:bCs w:val="0"/>
                      <w:color w:val="auto"/>
                      <w:sz w:val="48"/>
                      <w:szCs w:val="48"/>
                      <w:lang w:val="es-ES"/>
                    </w:rPr>
                  </w:pPr>
                  <w:r w:rsidRPr="00A23D15">
                    <w:rPr>
                      <w:b/>
                      <w:color w:val="auto"/>
                      <w:sz w:val="48"/>
                      <w:szCs w:val="48"/>
                      <w:lang w:val="es"/>
                    </w:rPr>
                    <w:t xml:space="preserve">Términos de Referencia para la </w:t>
                  </w:r>
                  <w:bookmarkStart w:id="0" w:name="_Hlk27402954"/>
                  <w:r w:rsidRPr="00A23D15">
                    <w:rPr>
                      <w:b/>
                      <w:color w:val="auto"/>
                      <w:sz w:val="48"/>
                      <w:szCs w:val="48"/>
                      <w:lang w:val="es"/>
                    </w:rPr>
                    <w:t>auditoría de estados financieros de una subvención con fines especiales (SPGFS)</w:t>
                  </w:r>
                  <w:bookmarkEnd w:id="0"/>
                </w:p>
              </w:tc>
            </w:tr>
          </w:tbl>
          <w:p w14:paraId="19CC3AC5" w14:textId="77777777" w:rsidR="00010133" w:rsidRPr="00A23D15" w:rsidRDefault="00010133" w:rsidP="006D7841">
            <w:pPr>
              <w:rPr>
                <w:lang w:val="es-ES"/>
              </w:rPr>
            </w:pPr>
          </w:p>
        </w:tc>
        <w:tc>
          <w:tcPr>
            <w:tcW w:w="1134" w:type="dxa"/>
            <w:vAlign w:val="center"/>
          </w:tcPr>
          <w:p w14:paraId="4AF769B0" w14:textId="77777777" w:rsidR="00010133" w:rsidRPr="005819FD" w:rsidRDefault="00010133" w:rsidP="006D7841">
            <w:pPr>
              <w:rPr>
                <w:lang w:val="es-ES"/>
              </w:rPr>
            </w:pPr>
          </w:p>
        </w:tc>
      </w:tr>
    </w:tbl>
    <w:p w14:paraId="2719C4CB" w14:textId="77777777" w:rsidR="009A28E5" w:rsidRPr="005819FD" w:rsidRDefault="009A28E5" w:rsidP="009A28E5">
      <w:pPr>
        <w:rPr>
          <w:lang w:val="es-ES"/>
        </w:rPr>
      </w:pPr>
    </w:p>
    <w:p w14:paraId="229F6DC0" w14:textId="77777777" w:rsidR="005659E0" w:rsidRPr="005819FD" w:rsidRDefault="00C86D6F" w:rsidP="0075707F">
      <w:pPr>
        <w:pStyle w:val="CoverPageDate"/>
        <w:rPr>
          <w:lang w:val="es-ES"/>
        </w:rPr>
      </w:pPr>
      <w:r>
        <w:rPr>
          <w:bCs/>
          <w:lang w:val="es"/>
        </w:rPr>
        <w:t xml:space="preserve">Noviembre 2019          </w:t>
      </w:r>
      <w:sdt>
        <w:sdtPr>
          <w:alias w:val="Form.ReportLocation"/>
          <w:tag w:val="{&quot;templafy&quot;:{&quot;id&quot;:&quot;ef9519b1-eb2f-4d35-a9ba-77480383d51d&quot;}}"/>
          <w:id w:val="-465742158"/>
          <w:lock w:val="contentLocked"/>
          <w:placeholder>
            <w:docPart w:val="EE96421251444573B6897316BD48B66F"/>
          </w:placeholder>
        </w:sdtPr>
        <w:sdtEndPr/>
        <w:sdtContent>
          <w:r>
            <w:rPr>
              <w:bCs/>
              <w:lang w:val="es"/>
            </w:rPr>
            <w:t>Ginebra</w:t>
          </w:r>
        </w:sdtContent>
      </w:sdt>
      <w:r>
        <w:rPr>
          <w:bCs/>
          <w:lang w:val="es"/>
        </w:rPr>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Pr>
              <w:bCs/>
              <w:lang w:val="es"/>
            </w:rPr>
            <w:t>Suiza</w:t>
          </w:r>
        </w:sdtContent>
      </w:sdt>
    </w:p>
    <w:p w14:paraId="0519B1F0" w14:textId="77777777" w:rsidR="00A77789" w:rsidRPr="005819FD" w:rsidRDefault="00A77789" w:rsidP="0075707F">
      <w:pPr>
        <w:pStyle w:val="CoverPageDate"/>
        <w:rPr>
          <w:lang w:val="es-ES"/>
        </w:rPr>
      </w:pPr>
    </w:p>
    <w:p w14:paraId="0A398C5F" w14:textId="77777777" w:rsidR="00813D40" w:rsidRPr="005819FD" w:rsidRDefault="00813D40" w:rsidP="00A30A41">
      <w:pPr>
        <w:pStyle w:val="CoverPageDate"/>
        <w:ind w:left="2880" w:firstLine="720"/>
        <w:jc w:val="left"/>
        <w:rPr>
          <w:lang w:val="es-ES"/>
        </w:rPr>
        <w:sectPr w:rsidR="00813D40" w:rsidRPr="005819FD" w:rsidSect="004B567E">
          <w:headerReference w:type="even" r:id="rId8"/>
          <w:headerReference w:type="default" r:id="rId9"/>
          <w:footerReference w:type="even" r:id="rId10"/>
          <w:footerReference w:type="default" r:id="rId11"/>
          <w:headerReference w:type="first" r:id="rId12"/>
          <w:footerReference w:type="first" r:id="rId13"/>
          <w:endnotePr>
            <w:numFmt w:val="chicago"/>
          </w:endnotePr>
          <w:pgSz w:w="11906" w:h="16838" w:code="9"/>
          <w:pgMar w:top="851" w:right="1134" w:bottom="1559" w:left="1134" w:header="851" w:footer="851" w:gutter="0"/>
          <w:cols w:space="708"/>
          <w:docGrid w:linePitch="360"/>
        </w:sectPr>
      </w:pPr>
      <w:r>
        <w:rPr>
          <w:bCs/>
          <w:lang w:val="es"/>
        </w:rPr>
        <w:t>Actualización: abril 2022</w:t>
      </w:r>
    </w:p>
    <w:p w14:paraId="59421599" w14:textId="391F695C" w:rsidR="00C24A3B" w:rsidRPr="005819FD" w:rsidRDefault="00C24A3B" w:rsidP="0075707F">
      <w:pPr>
        <w:pStyle w:val="CoverPageDate"/>
        <w:rPr>
          <w:lang w:val="es-ES"/>
        </w:rPr>
        <w:sectPr w:rsidR="00C24A3B" w:rsidRPr="005819FD" w:rsidSect="004B567E">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1" w:right="1134" w:bottom="1559" w:left="1134" w:header="851" w:footer="851" w:gutter="0"/>
          <w:cols w:space="708"/>
          <w:docGrid w:linePitch="360"/>
        </w:sectPr>
      </w:pPr>
    </w:p>
    <w:p w14:paraId="574366EC" w14:textId="77777777" w:rsidR="00C86D6F" w:rsidRPr="005819FD" w:rsidRDefault="00C86D6F" w:rsidP="00C86D6F">
      <w:pPr>
        <w:spacing w:before="0" w:after="0" w:line="500" w:lineRule="exact"/>
        <w:jc w:val="both"/>
        <w:rPr>
          <w:rFonts w:eastAsia="MS Gothic" w:cs="Arial"/>
          <w:bCs/>
          <w:color w:val="7F7F7F"/>
          <w:sz w:val="48"/>
          <w:szCs w:val="28"/>
          <w:lang w:val="es-ES"/>
        </w:rPr>
      </w:pPr>
    </w:p>
    <w:sdt>
      <w:sdtPr>
        <w:rPr>
          <w:rFonts w:eastAsia="MS Mincho" w:cs="Arial"/>
        </w:rPr>
        <w:id w:val="-1640105477"/>
        <w:docPartObj>
          <w:docPartGallery w:val="Table of Contents"/>
          <w:docPartUnique/>
        </w:docPartObj>
      </w:sdtPr>
      <w:sdtEndPr>
        <w:rPr>
          <w:b/>
          <w:bCs/>
          <w:noProof/>
          <w:szCs w:val="24"/>
        </w:rPr>
      </w:sdtEndPr>
      <w:sdtContent>
        <w:p w14:paraId="4FD04B7E" w14:textId="77777777" w:rsidR="00C86D6F" w:rsidRPr="004B0F08" w:rsidRDefault="00C86D6F" w:rsidP="00C86D6F">
          <w:pPr>
            <w:keepNext/>
            <w:keepLines/>
            <w:spacing w:before="0" w:after="0" w:line="240" w:lineRule="auto"/>
            <w:jc w:val="both"/>
            <w:rPr>
              <w:rFonts w:eastAsia="MS Gothic" w:cs="Arial"/>
            </w:rPr>
          </w:pPr>
          <w:r>
            <w:rPr>
              <w:rFonts w:eastAsia="MS Gothic" w:cs="Arial"/>
              <w:lang w:val="es"/>
            </w:rPr>
            <w:t>Índice</w:t>
          </w:r>
        </w:p>
        <w:p w14:paraId="04ECFFDD" w14:textId="77777777" w:rsidR="00C86D6F" w:rsidRPr="004B0F08" w:rsidRDefault="00C86D6F" w:rsidP="00C86D6F">
          <w:pPr>
            <w:spacing w:before="0" w:line="240" w:lineRule="auto"/>
            <w:jc w:val="both"/>
            <w:rPr>
              <w:rFonts w:eastAsia="MS Mincho" w:cs="Arial"/>
            </w:rPr>
          </w:pPr>
        </w:p>
        <w:p w14:paraId="28D99C40" w14:textId="11050A06" w:rsidR="00A23D15" w:rsidRDefault="00C86D6F">
          <w:pPr>
            <w:pStyle w:val="TOC1"/>
            <w:tabs>
              <w:tab w:val="left" w:pos="440"/>
              <w:tab w:val="right" w:leader="dot" w:pos="9622"/>
            </w:tabs>
            <w:rPr>
              <w:rFonts w:eastAsiaTheme="minorEastAsia" w:cstheme="minorBidi"/>
              <w:b w:val="0"/>
              <w:bCs w:val="0"/>
              <w:caps w:val="0"/>
              <w:noProof/>
              <w:sz w:val="22"/>
              <w:szCs w:val="22"/>
            </w:rPr>
          </w:pPr>
          <w:r>
            <w:rPr>
              <w:rFonts w:eastAsia="MS Mincho"/>
              <w:caps w:val="0"/>
              <w:lang w:val="es"/>
            </w:rPr>
            <w:fldChar w:fldCharType="begin"/>
          </w:r>
          <w:r>
            <w:rPr>
              <w:rFonts w:eastAsia="MS Mincho"/>
              <w:caps w:val="0"/>
            </w:rPr>
            <w:instrText xml:space="preserve"> TOC \o "1-3" \h \z \u </w:instrText>
          </w:r>
          <w:r>
            <w:rPr>
              <w:rFonts w:eastAsia="MS Mincho"/>
              <w:caps w:val="0"/>
            </w:rPr>
            <w:fldChar w:fldCharType="separate"/>
          </w:r>
          <w:hyperlink w:anchor="_Toc104292634" w:history="1">
            <w:r w:rsidR="00A23D15" w:rsidRPr="007357F9">
              <w:rPr>
                <w:rStyle w:val="Hyperlink"/>
                <w:rFonts w:asciiTheme="majorHAnsi" w:eastAsia="MS Gothic" w:hAnsiTheme="majorHAnsi" w:cstheme="majorHAnsi"/>
                <w:noProof/>
                <w:lang w:val="es-ES"/>
              </w:rPr>
              <w:t>1.</w:t>
            </w:r>
            <w:r w:rsidR="00A23D15">
              <w:rPr>
                <w:rFonts w:eastAsiaTheme="minorEastAsia" w:cstheme="minorBidi"/>
                <w:b w:val="0"/>
                <w:bCs w:val="0"/>
                <w:caps w:val="0"/>
                <w:noProof/>
                <w:sz w:val="22"/>
                <w:szCs w:val="22"/>
              </w:rPr>
              <w:tab/>
            </w:r>
            <w:r w:rsidR="00A23D15" w:rsidRPr="007357F9">
              <w:rPr>
                <w:rStyle w:val="Hyperlink"/>
                <w:rFonts w:asciiTheme="majorHAnsi" w:eastAsia="MS Gothic" w:hAnsiTheme="majorHAnsi" w:cstheme="majorHAnsi"/>
                <w:noProof/>
                <w:lang w:val="es"/>
              </w:rPr>
              <w:t>Antecedentes del programa, estructura de la auditoría y descripción de las entidades</w:t>
            </w:r>
            <w:r w:rsidR="00A23D15">
              <w:rPr>
                <w:noProof/>
                <w:webHidden/>
              </w:rPr>
              <w:tab/>
            </w:r>
            <w:r w:rsidR="00A23D15">
              <w:rPr>
                <w:noProof/>
                <w:webHidden/>
              </w:rPr>
              <w:fldChar w:fldCharType="begin"/>
            </w:r>
            <w:r w:rsidR="00A23D15">
              <w:rPr>
                <w:noProof/>
                <w:webHidden/>
              </w:rPr>
              <w:instrText xml:space="preserve"> PAGEREF _Toc104292634 \h </w:instrText>
            </w:r>
            <w:r w:rsidR="00A23D15">
              <w:rPr>
                <w:noProof/>
                <w:webHidden/>
              </w:rPr>
            </w:r>
            <w:r w:rsidR="00A23D15">
              <w:rPr>
                <w:noProof/>
                <w:webHidden/>
              </w:rPr>
              <w:fldChar w:fldCharType="separate"/>
            </w:r>
            <w:r w:rsidR="00A23D15">
              <w:rPr>
                <w:noProof/>
                <w:webHidden/>
              </w:rPr>
              <w:t>4</w:t>
            </w:r>
            <w:r w:rsidR="00A23D15">
              <w:rPr>
                <w:noProof/>
                <w:webHidden/>
              </w:rPr>
              <w:fldChar w:fldCharType="end"/>
            </w:r>
          </w:hyperlink>
        </w:p>
        <w:p w14:paraId="3F4BFAEC" w14:textId="45C7B34F" w:rsidR="00A23D15" w:rsidRDefault="00A23D15">
          <w:pPr>
            <w:pStyle w:val="TOC1"/>
            <w:tabs>
              <w:tab w:val="left" w:pos="660"/>
              <w:tab w:val="right" w:leader="dot" w:pos="9622"/>
            </w:tabs>
            <w:rPr>
              <w:rFonts w:eastAsiaTheme="minorEastAsia" w:cstheme="minorBidi"/>
              <w:b w:val="0"/>
              <w:bCs w:val="0"/>
              <w:caps w:val="0"/>
              <w:noProof/>
              <w:sz w:val="22"/>
              <w:szCs w:val="22"/>
            </w:rPr>
          </w:pPr>
          <w:hyperlink w:anchor="_Toc104292635" w:history="1">
            <w:r w:rsidRPr="007357F9">
              <w:rPr>
                <w:rStyle w:val="Hyperlink"/>
                <w:rFonts w:asciiTheme="majorHAnsi" w:eastAsia="MS Gothic" w:hAnsiTheme="majorHAnsi" w:cstheme="majorHAnsi"/>
                <w:noProof/>
                <w:lang w:val="es-ES"/>
              </w:rPr>
              <w:t>1.1</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Antecedentes del programa: [a cumplimentar por el Receptor Principal]</w:t>
            </w:r>
            <w:r>
              <w:rPr>
                <w:noProof/>
                <w:webHidden/>
              </w:rPr>
              <w:tab/>
            </w:r>
            <w:r>
              <w:rPr>
                <w:noProof/>
                <w:webHidden/>
              </w:rPr>
              <w:fldChar w:fldCharType="begin"/>
            </w:r>
            <w:r>
              <w:rPr>
                <w:noProof/>
                <w:webHidden/>
              </w:rPr>
              <w:instrText xml:space="preserve"> PAGEREF _Toc104292635 \h </w:instrText>
            </w:r>
            <w:r>
              <w:rPr>
                <w:noProof/>
                <w:webHidden/>
              </w:rPr>
            </w:r>
            <w:r>
              <w:rPr>
                <w:noProof/>
                <w:webHidden/>
              </w:rPr>
              <w:fldChar w:fldCharType="separate"/>
            </w:r>
            <w:r>
              <w:rPr>
                <w:noProof/>
                <w:webHidden/>
              </w:rPr>
              <w:t>4</w:t>
            </w:r>
            <w:r>
              <w:rPr>
                <w:noProof/>
                <w:webHidden/>
              </w:rPr>
              <w:fldChar w:fldCharType="end"/>
            </w:r>
          </w:hyperlink>
        </w:p>
        <w:p w14:paraId="60E60800" w14:textId="66293CA6" w:rsidR="00A23D15" w:rsidRDefault="00A23D15">
          <w:pPr>
            <w:pStyle w:val="TOC1"/>
            <w:tabs>
              <w:tab w:val="left" w:pos="660"/>
              <w:tab w:val="right" w:leader="dot" w:pos="9622"/>
            </w:tabs>
            <w:rPr>
              <w:rFonts w:eastAsiaTheme="minorEastAsia" w:cstheme="minorBidi"/>
              <w:b w:val="0"/>
              <w:bCs w:val="0"/>
              <w:caps w:val="0"/>
              <w:noProof/>
              <w:sz w:val="22"/>
              <w:szCs w:val="22"/>
            </w:rPr>
          </w:pPr>
          <w:hyperlink w:anchor="_Toc104292636" w:history="1">
            <w:r w:rsidRPr="007357F9">
              <w:rPr>
                <w:rStyle w:val="Hyperlink"/>
                <w:rFonts w:asciiTheme="majorHAnsi" w:eastAsia="MS Gothic" w:hAnsiTheme="majorHAnsi" w:cstheme="majorHAnsi"/>
                <w:noProof/>
                <w:lang w:val="es-ES"/>
              </w:rPr>
              <w:t>1.2</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Entidades del programa y enfoque de la auditoría: [a cumplimentar por el Receptor Principal]</w:t>
            </w:r>
            <w:r>
              <w:rPr>
                <w:noProof/>
                <w:webHidden/>
              </w:rPr>
              <w:tab/>
            </w:r>
            <w:r>
              <w:rPr>
                <w:noProof/>
                <w:webHidden/>
              </w:rPr>
              <w:fldChar w:fldCharType="begin"/>
            </w:r>
            <w:r>
              <w:rPr>
                <w:noProof/>
                <w:webHidden/>
              </w:rPr>
              <w:instrText xml:space="preserve"> PAGEREF _Toc104292636 \h </w:instrText>
            </w:r>
            <w:r>
              <w:rPr>
                <w:noProof/>
                <w:webHidden/>
              </w:rPr>
            </w:r>
            <w:r>
              <w:rPr>
                <w:noProof/>
                <w:webHidden/>
              </w:rPr>
              <w:fldChar w:fldCharType="separate"/>
            </w:r>
            <w:r>
              <w:rPr>
                <w:noProof/>
                <w:webHidden/>
              </w:rPr>
              <w:t>4</w:t>
            </w:r>
            <w:r>
              <w:rPr>
                <w:noProof/>
                <w:webHidden/>
              </w:rPr>
              <w:fldChar w:fldCharType="end"/>
            </w:r>
          </w:hyperlink>
        </w:p>
        <w:p w14:paraId="73CDC0CA" w14:textId="6CD92421"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37" w:history="1">
            <w:r w:rsidRPr="007357F9">
              <w:rPr>
                <w:rStyle w:val="Hyperlink"/>
                <w:rFonts w:asciiTheme="majorHAnsi" w:eastAsia="MS Gothic" w:hAnsiTheme="majorHAnsi" w:cstheme="majorHAnsi"/>
                <w:noProof/>
                <w:lang w:val="es-ES"/>
              </w:rPr>
              <w:t>2.</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Contactos [deberán facilitarse al auditor de manera confidencial]:</w:t>
            </w:r>
            <w:r>
              <w:rPr>
                <w:noProof/>
                <w:webHidden/>
              </w:rPr>
              <w:tab/>
            </w:r>
            <w:r>
              <w:rPr>
                <w:noProof/>
                <w:webHidden/>
              </w:rPr>
              <w:fldChar w:fldCharType="begin"/>
            </w:r>
            <w:r>
              <w:rPr>
                <w:noProof/>
                <w:webHidden/>
              </w:rPr>
              <w:instrText xml:space="preserve"> PAGEREF _Toc104292637 \h </w:instrText>
            </w:r>
            <w:r>
              <w:rPr>
                <w:noProof/>
                <w:webHidden/>
              </w:rPr>
            </w:r>
            <w:r>
              <w:rPr>
                <w:noProof/>
                <w:webHidden/>
              </w:rPr>
              <w:fldChar w:fldCharType="separate"/>
            </w:r>
            <w:r>
              <w:rPr>
                <w:noProof/>
                <w:webHidden/>
              </w:rPr>
              <w:t>4</w:t>
            </w:r>
            <w:r>
              <w:rPr>
                <w:noProof/>
                <w:webHidden/>
              </w:rPr>
              <w:fldChar w:fldCharType="end"/>
            </w:r>
          </w:hyperlink>
        </w:p>
        <w:p w14:paraId="3769E897" w14:textId="5399D2A4"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38" w:history="1">
            <w:r w:rsidRPr="007357F9">
              <w:rPr>
                <w:rStyle w:val="Hyperlink"/>
                <w:rFonts w:asciiTheme="majorHAnsi" w:eastAsia="MS Gothic" w:hAnsiTheme="majorHAnsi" w:cstheme="majorHAnsi"/>
                <w:noProof/>
              </w:rPr>
              <w:t>3.</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Objetivos de la auditoría</w:t>
            </w:r>
            <w:r>
              <w:rPr>
                <w:noProof/>
                <w:webHidden/>
              </w:rPr>
              <w:tab/>
            </w:r>
            <w:r>
              <w:rPr>
                <w:noProof/>
                <w:webHidden/>
              </w:rPr>
              <w:fldChar w:fldCharType="begin"/>
            </w:r>
            <w:r>
              <w:rPr>
                <w:noProof/>
                <w:webHidden/>
              </w:rPr>
              <w:instrText xml:space="preserve"> PAGEREF _Toc104292638 \h </w:instrText>
            </w:r>
            <w:r>
              <w:rPr>
                <w:noProof/>
                <w:webHidden/>
              </w:rPr>
            </w:r>
            <w:r>
              <w:rPr>
                <w:noProof/>
                <w:webHidden/>
              </w:rPr>
              <w:fldChar w:fldCharType="separate"/>
            </w:r>
            <w:r>
              <w:rPr>
                <w:noProof/>
                <w:webHidden/>
              </w:rPr>
              <w:t>4</w:t>
            </w:r>
            <w:r>
              <w:rPr>
                <w:noProof/>
                <w:webHidden/>
              </w:rPr>
              <w:fldChar w:fldCharType="end"/>
            </w:r>
          </w:hyperlink>
        </w:p>
        <w:p w14:paraId="750CAF36" w14:textId="1B56893F"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39" w:history="1">
            <w:r w:rsidRPr="007357F9">
              <w:rPr>
                <w:rStyle w:val="Hyperlink"/>
                <w:rFonts w:asciiTheme="majorHAnsi" w:eastAsia="MS Gothic" w:hAnsiTheme="majorHAnsi" w:cstheme="majorHAnsi"/>
                <w:noProof/>
                <w:lang w:val="es-ES"/>
              </w:rPr>
              <w:t>4.</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Responsabilidad de la preparación de los estados financieros de una subvención con fines especiales (SPGFS).</w:t>
            </w:r>
            <w:r>
              <w:rPr>
                <w:noProof/>
                <w:webHidden/>
              </w:rPr>
              <w:tab/>
            </w:r>
            <w:r>
              <w:rPr>
                <w:noProof/>
                <w:webHidden/>
              </w:rPr>
              <w:fldChar w:fldCharType="begin"/>
            </w:r>
            <w:r>
              <w:rPr>
                <w:noProof/>
                <w:webHidden/>
              </w:rPr>
              <w:instrText xml:space="preserve"> PAGEREF _Toc104292639 \h </w:instrText>
            </w:r>
            <w:r>
              <w:rPr>
                <w:noProof/>
                <w:webHidden/>
              </w:rPr>
            </w:r>
            <w:r>
              <w:rPr>
                <w:noProof/>
                <w:webHidden/>
              </w:rPr>
              <w:fldChar w:fldCharType="separate"/>
            </w:r>
            <w:r>
              <w:rPr>
                <w:noProof/>
                <w:webHidden/>
              </w:rPr>
              <w:t>5</w:t>
            </w:r>
            <w:r>
              <w:rPr>
                <w:noProof/>
                <w:webHidden/>
              </w:rPr>
              <w:fldChar w:fldCharType="end"/>
            </w:r>
          </w:hyperlink>
        </w:p>
        <w:p w14:paraId="02AA99F7" w14:textId="62011779"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40" w:history="1">
            <w:r w:rsidRPr="007357F9">
              <w:rPr>
                <w:rStyle w:val="Hyperlink"/>
                <w:rFonts w:asciiTheme="majorHAnsi" w:eastAsia="MS Gothic" w:hAnsiTheme="majorHAnsi" w:cstheme="majorHAnsi"/>
                <w:noProof/>
                <w:lang w:val="es-ES"/>
              </w:rPr>
              <w:t>5.</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Estados financieros de una subvención con fines especiales (SPGFS).</w:t>
            </w:r>
            <w:r>
              <w:rPr>
                <w:noProof/>
                <w:webHidden/>
              </w:rPr>
              <w:tab/>
            </w:r>
            <w:r>
              <w:rPr>
                <w:noProof/>
                <w:webHidden/>
              </w:rPr>
              <w:fldChar w:fldCharType="begin"/>
            </w:r>
            <w:r>
              <w:rPr>
                <w:noProof/>
                <w:webHidden/>
              </w:rPr>
              <w:instrText xml:space="preserve"> PAGEREF _Toc104292640 \h </w:instrText>
            </w:r>
            <w:r>
              <w:rPr>
                <w:noProof/>
                <w:webHidden/>
              </w:rPr>
            </w:r>
            <w:r>
              <w:rPr>
                <w:noProof/>
                <w:webHidden/>
              </w:rPr>
              <w:fldChar w:fldCharType="separate"/>
            </w:r>
            <w:r>
              <w:rPr>
                <w:noProof/>
                <w:webHidden/>
              </w:rPr>
              <w:t>5</w:t>
            </w:r>
            <w:r>
              <w:rPr>
                <w:noProof/>
                <w:webHidden/>
              </w:rPr>
              <w:fldChar w:fldCharType="end"/>
            </w:r>
          </w:hyperlink>
        </w:p>
        <w:p w14:paraId="65E14935" w14:textId="61381736"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41" w:history="1">
            <w:r w:rsidRPr="007357F9">
              <w:rPr>
                <w:rStyle w:val="Hyperlink"/>
                <w:rFonts w:asciiTheme="majorHAnsi" w:eastAsia="MS Gothic" w:hAnsiTheme="majorHAnsi" w:cstheme="majorHAnsi"/>
                <w:noProof/>
              </w:rPr>
              <w:t>6.</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Documentos e instalaciones disponibles</w:t>
            </w:r>
            <w:r>
              <w:rPr>
                <w:noProof/>
                <w:webHidden/>
              </w:rPr>
              <w:tab/>
            </w:r>
            <w:r>
              <w:rPr>
                <w:noProof/>
                <w:webHidden/>
              </w:rPr>
              <w:fldChar w:fldCharType="begin"/>
            </w:r>
            <w:r>
              <w:rPr>
                <w:noProof/>
                <w:webHidden/>
              </w:rPr>
              <w:instrText xml:space="preserve"> PAGEREF _Toc104292641 \h </w:instrText>
            </w:r>
            <w:r>
              <w:rPr>
                <w:noProof/>
                <w:webHidden/>
              </w:rPr>
            </w:r>
            <w:r>
              <w:rPr>
                <w:noProof/>
                <w:webHidden/>
              </w:rPr>
              <w:fldChar w:fldCharType="separate"/>
            </w:r>
            <w:r>
              <w:rPr>
                <w:noProof/>
                <w:webHidden/>
              </w:rPr>
              <w:t>6</w:t>
            </w:r>
            <w:r>
              <w:rPr>
                <w:noProof/>
                <w:webHidden/>
              </w:rPr>
              <w:fldChar w:fldCharType="end"/>
            </w:r>
          </w:hyperlink>
        </w:p>
        <w:p w14:paraId="0EC2641B" w14:textId="688AEAA6"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42" w:history="1">
            <w:r w:rsidRPr="007357F9">
              <w:rPr>
                <w:rStyle w:val="Hyperlink"/>
                <w:rFonts w:asciiTheme="majorHAnsi" w:eastAsia="MS Gothic" w:hAnsiTheme="majorHAnsi" w:cstheme="majorHAnsi"/>
                <w:noProof/>
              </w:rPr>
              <w:t>7.</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Alcance del trabajo de auditoría</w:t>
            </w:r>
            <w:r>
              <w:rPr>
                <w:noProof/>
                <w:webHidden/>
              </w:rPr>
              <w:tab/>
            </w:r>
            <w:r>
              <w:rPr>
                <w:noProof/>
                <w:webHidden/>
              </w:rPr>
              <w:fldChar w:fldCharType="begin"/>
            </w:r>
            <w:r>
              <w:rPr>
                <w:noProof/>
                <w:webHidden/>
              </w:rPr>
              <w:instrText xml:space="preserve"> PAGEREF _Toc104292642 \h </w:instrText>
            </w:r>
            <w:r>
              <w:rPr>
                <w:noProof/>
                <w:webHidden/>
              </w:rPr>
            </w:r>
            <w:r>
              <w:rPr>
                <w:noProof/>
                <w:webHidden/>
              </w:rPr>
              <w:fldChar w:fldCharType="separate"/>
            </w:r>
            <w:r>
              <w:rPr>
                <w:noProof/>
                <w:webHidden/>
              </w:rPr>
              <w:t>6</w:t>
            </w:r>
            <w:r>
              <w:rPr>
                <w:noProof/>
                <w:webHidden/>
              </w:rPr>
              <w:fldChar w:fldCharType="end"/>
            </w:r>
          </w:hyperlink>
        </w:p>
        <w:p w14:paraId="52870EDD" w14:textId="76587C1F"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43" w:history="1">
            <w:r w:rsidRPr="007357F9">
              <w:rPr>
                <w:rStyle w:val="Hyperlink"/>
                <w:rFonts w:asciiTheme="majorHAnsi" w:eastAsia="MS Gothic" w:hAnsiTheme="majorHAnsi" w:cstheme="majorHAnsi"/>
                <w:noProof/>
              </w:rPr>
              <w:t>8.</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Procedimientos de auditoría</w:t>
            </w:r>
            <w:r>
              <w:rPr>
                <w:noProof/>
                <w:webHidden/>
              </w:rPr>
              <w:tab/>
            </w:r>
            <w:r>
              <w:rPr>
                <w:noProof/>
                <w:webHidden/>
              </w:rPr>
              <w:fldChar w:fldCharType="begin"/>
            </w:r>
            <w:r>
              <w:rPr>
                <w:noProof/>
                <w:webHidden/>
              </w:rPr>
              <w:instrText xml:space="preserve"> PAGEREF _Toc104292643 \h </w:instrText>
            </w:r>
            <w:r>
              <w:rPr>
                <w:noProof/>
                <w:webHidden/>
              </w:rPr>
            </w:r>
            <w:r>
              <w:rPr>
                <w:noProof/>
                <w:webHidden/>
              </w:rPr>
              <w:fldChar w:fldCharType="separate"/>
            </w:r>
            <w:r>
              <w:rPr>
                <w:noProof/>
                <w:webHidden/>
              </w:rPr>
              <w:t>9</w:t>
            </w:r>
            <w:r>
              <w:rPr>
                <w:noProof/>
                <w:webHidden/>
              </w:rPr>
              <w:fldChar w:fldCharType="end"/>
            </w:r>
          </w:hyperlink>
        </w:p>
        <w:p w14:paraId="225210D3" w14:textId="1C5B4FE2" w:rsidR="00A23D15" w:rsidRDefault="00A23D15">
          <w:pPr>
            <w:pStyle w:val="TOC1"/>
            <w:tabs>
              <w:tab w:val="left" w:pos="660"/>
              <w:tab w:val="right" w:leader="dot" w:pos="9622"/>
            </w:tabs>
            <w:rPr>
              <w:rFonts w:eastAsiaTheme="minorEastAsia" w:cstheme="minorBidi"/>
              <w:b w:val="0"/>
              <w:bCs w:val="0"/>
              <w:caps w:val="0"/>
              <w:noProof/>
              <w:sz w:val="22"/>
              <w:szCs w:val="22"/>
            </w:rPr>
          </w:pPr>
          <w:hyperlink w:anchor="_Toc104292644" w:history="1">
            <w:r w:rsidRPr="007357F9">
              <w:rPr>
                <w:rStyle w:val="Hyperlink"/>
                <w:rFonts w:asciiTheme="majorHAnsi" w:eastAsia="MS Gothic" w:hAnsiTheme="majorHAnsi" w:cstheme="majorHAnsi"/>
                <w:noProof/>
              </w:rPr>
              <w:t>8.1</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Planificación</w:t>
            </w:r>
            <w:r>
              <w:rPr>
                <w:noProof/>
                <w:webHidden/>
              </w:rPr>
              <w:tab/>
            </w:r>
            <w:r>
              <w:rPr>
                <w:noProof/>
                <w:webHidden/>
              </w:rPr>
              <w:fldChar w:fldCharType="begin"/>
            </w:r>
            <w:r>
              <w:rPr>
                <w:noProof/>
                <w:webHidden/>
              </w:rPr>
              <w:instrText xml:space="preserve"> PAGEREF _Toc104292644 \h </w:instrText>
            </w:r>
            <w:r>
              <w:rPr>
                <w:noProof/>
                <w:webHidden/>
              </w:rPr>
            </w:r>
            <w:r>
              <w:rPr>
                <w:noProof/>
                <w:webHidden/>
              </w:rPr>
              <w:fldChar w:fldCharType="separate"/>
            </w:r>
            <w:r>
              <w:rPr>
                <w:noProof/>
                <w:webHidden/>
              </w:rPr>
              <w:t>9</w:t>
            </w:r>
            <w:r>
              <w:rPr>
                <w:noProof/>
                <w:webHidden/>
              </w:rPr>
              <w:fldChar w:fldCharType="end"/>
            </w:r>
          </w:hyperlink>
        </w:p>
        <w:p w14:paraId="415C2EA4" w14:textId="7140E694"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45" w:history="1">
            <w:r w:rsidRPr="007357F9">
              <w:rPr>
                <w:rStyle w:val="Hyperlink"/>
                <w:rFonts w:asciiTheme="majorHAnsi" w:eastAsia="MS Gothic" w:hAnsiTheme="majorHAnsi" w:cstheme="majorHAnsi"/>
                <w:b/>
                <w:bCs/>
                <w:noProof/>
                <w:lang w:val="es-ES"/>
              </w:rPr>
              <w:t>8.1.1</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Reunión inicial con el Receptor Principal</w:t>
            </w:r>
            <w:r>
              <w:rPr>
                <w:noProof/>
                <w:webHidden/>
              </w:rPr>
              <w:tab/>
            </w:r>
            <w:r>
              <w:rPr>
                <w:noProof/>
                <w:webHidden/>
              </w:rPr>
              <w:fldChar w:fldCharType="begin"/>
            </w:r>
            <w:r>
              <w:rPr>
                <w:noProof/>
                <w:webHidden/>
              </w:rPr>
              <w:instrText xml:space="preserve"> PAGEREF _Toc104292645 \h </w:instrText>
            </w:r>
            <w:r>
              <w:rPr>
                <w:noProof/>
                <w:webHidden/>
              </w:rPr>
            </w:r>
            <w:r>
              <w:rPr>
                <w:noProof/>
                <w:webHidden/>
              </w:rPr>
              <w:fldChar w:fldCharType="separate"/>
            </w:r>
            <w:r>
              <w:rPr>
                <w:noProof/>
                <w:webHidden/>
              </w:rPr>
              <w:t>9</w:t>
            </w:r>
            <w:r>
              <w:rPr>
                <w:noProof/>
                <w:webHidden/>
              </w:rPr>
              <w:fldChar w:fldCharType="end"/>
            </w:r>
          </w:hyperlink>
        </w:p>
        <w:p w14:paraId="08762811" w14:textId="3D100FFB"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46" w:history="1">
            <w:r w:rsidRPr="007357F9">
              <w:rPr>
                <w:rStyle w:val="Hyperlink"/>
                <w:rFonts w:asciiTheme="majorHAnsi" w:eastAsia="MS Gothic" w:hAnsiTheme="majorHAnsi" w:cstheme="majorHAnsi"/>
                <w:b/>
                <w:bCs/>
                <w:noProof/>
                <w:lang w:val="es-ES"/>
              </w:rPr>
              <w:t>8.1.2</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Actividades de planificación, plan de auditoría y programas del trabajo de auditoría</w:t>
            </w:r>
            <w:r>
              <w:rPr>
                <w:noProof/>
                <w:webHidden/>
              </w:rPr>
              <w:tab/>
            </w:r>
            <w:r>
              <w:rPr>
                <w:noProof/>
                <w:webHidden/>
              </w:rPr>
              <w:fldChar w:fldCharType="begin"/>
            </w:r>
            <w:r>
              <w:rPr>
                <w:noProof/>
                <w:webHidden/>
              </w:rPr>
              <w:instrText xml:space="preserve"> PAGEREF _Toc104292646 \h </w:instrText>
            </w:r>
            <w:r>
              <w:rPr>
                <w:noProof/>
                <w:webHidden/>
              </w:rPr>
            </w:r>
            <w:r>
              <w:rPr>
                <w:noProof/>
                <w:webHidden/>
              </w:rPr>
              <w:fldChar w:fldCharType="separate"/>
            </w:r>
            <w:r>
              <w:rPr>
                <w:noProof/>
                <w:webHidden/>
              </w:rPr>
              <w:t>9</w:t>
            </w:r>
            <w:r>
              <w:rPr>
                <w:noProof/>
                <w:webHidden/>
              </w:rPr>
              <w:fldChar w:fldCharType="end"/>
            </w:r>
          </w:hyperlink>
        </w:p>
        <w:p w14:paraId="37EBC987" w14:textId="47658710" w:rsidR="00A23D15" w:rsidRDefault="00A23D15">
          <w:pPr>
            <w:pStyle w:val="TOC1"/>
            <w:tabs>
              <w:tab w:val="left" w:pos="660"/>
              <w:tab w:val="right" w:leader="dot" w:pos="9622"/>
            </w:tabs>
            <w:rPr>
              <w:rFonts w:eastAsiaTheme="minorEastAsia" w:cstheme="minorBidi"/>
              <w:b w:val="0"/>
              <w:bCs w:val="0"/>
              <w:caps w:val="0"/>
              <w:noProof/>
              <w:sz w:val="22"/>
              <w:szCs w:val="22"/>
            </w:rPr>
          </w:pPr>
          <w:hyperlink w:anchor="_Toc104292647" w:history="1">
            <w:r w:rsidRPr="007357F9">
              <w:rPr>
                <w:rStyle w:val="Hyperlink"/>
                <w:rFonts w:asciiTheme="majorHAnsi" w:eastAsia="MS Gothic" w:hAnsiTheme="majorHAnsi" w:cstheme="majorHAnsi"/>
                <w:noProof/>
              </w:rPr>
              <w:t>8.2</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Materialidad</w:t>
            </w:r>
            <w:r>
              <w:rPr>
                <w:noProof/>
                <w:webHidden/>
              </w:rPr>
              <w:tab/>
            </w:r>
            <w:r>
              <w:rPr>
                <w:noProof/>
                <w:webHidden/>
              </w:rPr>
              <w:fldChar w:fldCharType="begin"/>
            </w:r>
            <w:r>
              <w:rPr>
                <w:noProof/>
                <w:webHidden/>
              </w:rPr>
              <w:instrText xml:space="preserve"> PAGEREF _Toc104292647 \h </w:instrText>
            </w:r>
            <w:r>
              <w:rPr>
                <w:noProof/>
                <w:webHidden/>
              </w:rPr>
            </w:r>
            <w:r>
              <w:rPr>
                <w:noProof/>
                <w:webHidden/>
              </w:rPr>
              <w:fldChar w:fldCharType="separate"/>
            </w:r>
            <w:r>
              <w:rPr>
                <w:noProof/>
                <w:webHidden/>
              </w:rPr>
              <w:t>9</w:t>
            </w:r>
            <w:r>
              <w:rPr>
                <w:noProof/>
                <w:webHidden/>
              </w:rPr>
              <w:fldChar w:fldCharType="end"/>
            </w:r>
          </w:hyperlink>
        </w:p>
        <w:p w14:paraId="6B9F001B" w14:textId="756D8E10" w:rsidR="00A23D15" w:rsidRDefault="00A23D15">
          <w:pPr>
            <w:pStyle w:val="TOC1"/>
            <w:tabs>
              <w:tab w:val="left" w:pos="660"/>
              <w:tab w:val="right" w:leader="dot" w:pos="9622"/>
            </w:tabs>
            <w:rPr>
              <w:rFonts w:eastAsiaTheme="minorEastAsia" w:cstheme="minorBidi"/>
              <w:b w:val="0"/>
              <w:bCs w:val="0"/>
              <w:caps w:val="0"/>
              <w:noProof/>
              <w:sz w:val="22"/>
              <w:szCs w:val="22"/>
            </w:rPr>
          </w:pPr>
          <w:hyperlink w:anchor="_Toc104292648" w:history="1">
            <w:r w:rsidRPr="007357F9">
              <w:rPr>
                <w:rStyle w:val="Hyperlink"/>
                <w:rFonts w:asciiTheme="majorHAnsi" w:eastAsia="MS Gothic" w:hAnsiTheme="majorHAnsi" w:cstheme="majorHAnsi"/>
                <w:noProof/>
              </w:rPr>
              <w:t>8.3</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Trabajo de campo</w:t>
            </w:r>
            <w:r>
              <w:rPr>
                <w:noProof/>
                <w:webHidden/>
              </w:rPr>
              <w:tab/>
            </w:r>
            <w:r>
              <w:rPr>
                <w:noProof/>
                <w:webHidden/>
              </w:rPr>
              <w:fldChar w:fldCharType="begin"/>
            </w:r>
            <w:r>
              <w:rPr>
                <w:noProof/>
                <w:webHidden/>
              </w:rPr>
              <w:instrText xml:space="preserve"> PAGEREF _Toc104292648 \h </w:instrText>
            </w:r>
            <w:r>
              <w:rPr>
                <w:noProof/>
                <w:webHidden/>
              </w:rPr>
            </w:r>
            <w:r>
              <w:rPr>
                <w:noProof/>
                <w:webHidden/>
              </w:rPr>
              <w:fldChar w:fldCharType="separate"/>
            </w:r>
            <w:r>
              <w:rPr>
                <w:noProof/>
                <w:webHidden/>
              </w:rPr>
              <w:t>10</w:t>
            </w:r>
            <w:r>
              <w:rPr>
                <w:noProof/>
                <w:webHidden/>
              </w:rPr>
              <w:fldChar w:fldCharType="end"/>
            </w:r>
          </w:hyperlink>
        </w:p>
        <w:p w14:paraId="4DD3F143" w14:textId="1C0A4226"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49" w:history="1">
            <w:r w:rsidRPr="007357F9">
              <w:rPr>
                <w:rStyle w:val="Hyperlink"/>
                <w:rFonts w:asciiTheme="majorHAnsi" w:eastAsia="MS Gothic" w:hAnsiTheme="majorHAnsi" w:cstheme="majorHAnsi"/>
                <w:b/>
                <w:bCs/>
                <w:noProof/>
                <w:lang w:val="es-ES"/>
              </w:rPr>
              <w:t>8.3.1</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Obtener pruebas relativas al diseño de controles y realizar comprobaciones de controles</w:t>
            </w:r>
            <w:r>
              <w:rPr>
                <w:noProof/>
                <w:webHidden/>
              </w:rPr>
              <w:tab/>
            </w:r>
            <w:r>
              <w:rPr>
                <w:noProof/>
                <w:webHidden/>
              </w:rPr>
              <w:fldChar w:fldCharType="begin"/>
            </w:r>
            <w:r>
              <w:rPr>
                <w:noProof/>
                <w:webHidden/>
              </w:rPr>
              <w:instrText xml:space="preserve"> PAGEREF _Toc104292649 \h </w:instrText>
            </w:r>
            <w:r>
              <w:rPr>
                <w:noProof/>
                <w:webHidden/>
              </w:rPr>
            </w:r>
            <w:r>
              <w:rPr>
                <w:noProof/>
                <w:webHidden/>
              </w:rPr>
              <w:fldChar w:fldCharType="separate"/>
            </w:r>
            <w:r>
              <w:rPr>
                <w:noProof/>
                <w:webHidden/>
              </w:rPr>
              <w:t>10</w:t>
            </w:r>
            <w:r>
              <w:rPr>
                <w:noProof/>
                <w:webHidden/>
              </w:rPr>
              <w:fldChar w:fldCharType="end"/>
            </w:r>
          </w:hyperlink>
        </w:p>
        <w:p w14:paraId="56DB6F14" w14:textId="7A607635"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0" w:history="1">
            <w:r w:rsidRPr="007357F9">
              <w:rPr>
                <w:rStyle w:val="Hyperlink"/>
                <w:rFonts w:asciiTheme="majorHAnsi" w:eastAsia="MS Gothic" w:hAnsiTheme="majorHAnsi" w:cstheme="majorHAnsi"/>
                <w:b/>
                <w:bCs/>
                <w:noProof/>
              </w:rPr>
              <w:t>8.3.2</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Procedimientos sustanciales</w:t>
            </w:r>
            <w:r>
              <w:rPr>
                <w:noProof/>
                <w:webHidden/>
              </w:rPr>
              <w:tab/>
            </w:r>
            <w:r>
              <w:rPr>
                <w:noProof/>
                <w:webHidden/>
              </w:rPr>
              <w:fldChar w:fldCharType="begin"/>
            </w:r>
            <w:r>
              <w:rPr>
                <w:noProof/>
                <w:webHidden/>
              </w:rPr>
              <w:instrText xml:space="preserve"> PAGEREF _Toc104292650 \h </w:instrText>
            </w:r>
            <w:r>
              <w:rPr>
                <w:noProof/>
                <w:webHidden/>
              </w:rPr>
            </w:r>
            <w:r>
              <w:rPr>
                <w:noProof/>
                <w:webHidden/>
              </w:rPr>
              <w:fldChar w:fldCharType="separate"/>
            </w:r>
            <w:r>
              <w:rPr>
                <w:noProof/>
                <w:webHidden/>
              </w:rPr>
              <w:t>10</w:t>
            </w:r>
            <w:r>
              <w:rPr>
                <w:noProof/>
                <w:webHidden/>
              </w:rPr>
              <w:fldChar w:fldCharType="end"/>
            </w:r>
          </w:hyperlink>
        </w:p>
        <w:p w14:paraId="3B414701" w14:textId="2E0CBEAB"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1" w:history="1">
            <w:r w:rsidRPr="007357F9">
              <w:rPr>
                <w:rStyle w:val="Hyperlink"/>
                <w:rFonts w:asciiTheme="majorHAnsi" w:eastAsia="MS Gothic" w:hAnsiTheme="majorHAnsi" w:cstheme="majorHAnsi"/>
                <w:b/>
                <w:bCs/>
                <w:noProof/>
                <w:lang w:val="es-ES"/>
              </w:rPr>
              <w:t>8.3.3</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Muestreo y otros medios de seleccionar elementos para las pruebas</w:t>
            </w:r>
            <w:r>
              <w:rPr>
                <w:noProof/>
                <w:webHidden/>
              </w:rPr>
              <w:tab/>
            </w:r>
            <w:r>
              <w:rPr>
                <w:noProof/>
                <w:webHidden/>
              </w:rPr>
              <w:fldChar w:fldCharType="begin"/>
            </w:r>
            <w:r>
              <w:rPr>
                <w:noProof/>
                <w:webHidden/>
              </w:rPr>
              <w:instrText xml:space="preserve"> PAGEREF _Toc104292651 \h </w:instrText>
            </w:r>
            <w:r>
              <w:rPr>
                <w:noProof/>
                <w:webHidden/>
              </w:rPr>
            </w:r>
            <w:r>
              <w:rPr>
                <w:noProof/>
                <w:webHidden/>
              </w:rPr>
              <w:fldChar w:fldCharType="separate"/>
            </w:r>
            <w:r>
              <w:rPr>
                <w:noProof/>
                <w:webHidden/>
              </w:rPr>
              <w:t>10</w:t>
            </w:r>
            <w:r>
              <w:rPr>
                <w:noProof/>
                <w:webHidden/>
              </w:rPr>
              <w:fldChar w:fldCharType="end"/>
            </w:r>
          </w:hyperlink>
        </w:p>
        <w:p w14:paraId="524DCB0D" w14:textId="66F7D386"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2" w:history="1">
            <w:r w:rsidRPr="007357F9">
              <w:rPr>
                <w:rStyle w:val="Hyperlink"/>
                <w:rFonts w:asciiTheme="majorHAnsi" w:eastAsia="MS Gothic" w:hAnsiTheme="majorHAnsi" w:cstheme="majorHAnsi"/>
                <w:b/>
                <w:bCs/>
                <w:noProof/>
              </w:rPr>
              <w:t>8.3.4</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Procedimientos analíticos</w:t>
            </w:r>
            <w:r>
              <w:rPr>
                <w:noProof/>
                <w:webHidden/>
              </w:rPr>
              <w:tab/>
            </w:r>
            <w:r>
              <w:rPr>
                <w:noProof/>
                <w:webHidden/>
              </w:rPr>
              <w:fldChar w:fldCharType="begin"/>
            </w:r>
            <w:r>
              <w:rPr>
                <w:noProof/>
                <w:webHidden/>
              </w:rPr>
              <w:instrText xml:space="preserve"> PAGEREF _Toc104292652 \h </w:instrText>
            </w:r>
            <w:r>
              <w:rPr>
                <w:noProof/>
                <w:webHidden/>
              </w:rPr>
            </w:r>
            <w:r>
              <w:rPr>
                <w:noProof/>
                <w:webHidden/>
              </w:rPr>
              <w:fldChar w:fldCharType="separate"/>
            </w:r>
            <w:r>
              <w:rPr>
                <w:noProof/>
                <w:webHidden/>
              </w:rPr>
              <w:t>11</w:t>
            </w:r>
            <w:r>
              <w:rPr>
                <w:noProof/>
                <w:webHidden/>
              </w:rPr>
              <w:fldChar w:fldCharType="end"/>
            </w:r>
          </w:hyperlink>
        </w:p>
        <w:p w14:paraId="0D739BD3" w14:textId="7155E783"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3" w:history="1">
            <w:r w:rsidRPr="007357F9">
              <w:rPr>
                <w:rStyle w:val="Hyperlink"/>
                <w:rFonts w:asciiTheme="majorHAnsi" w:eastAsia="MS Gothic" w:hAnsiTheme="majorHAnsi" w:cstheme="majorHAnsi"/>
                <w:b/>
                <w:bCs/>
                <w:noProof/>
                <w:lang w:val="es-ES"/>
              </w:rPr>
              <w:t>8.3.5</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Utilizar el trabajo de los auditores internos</w:t>
            </w:r>
            <w:r>
              <w:rPr>
                <w:noProof/>
                <w:webHidden/>
              </w:rPr>
              <w:tab/>
            </w:r>
            <w:r>
              <w:rPr>
                <w:noProof/>
                <w:webHidden/>
              </w:rPr>
              <w:fldChar w:fldCharType="begin"/>
            </w:r>
            <w:r>
              <w:rPr>
                <w:noProof/>
                <w:webHidden/>
              </w:rPr>
              <w:instrText xml:space="preserve"> PAGEREF _Toc104292653 \h </w:instrText>
            </w:r>
            <w:r>
              <w:rPr>
                <w:noProof/>
                <w:webHidden/>
              </w:rPr>
            </w:r>
            <w:r>
              <w:rPr>
                <w:noProof/>
                <w:webHidden/>
              </w:rPr>
              <w:fldChar w:fldCharType="separate"/>
            </w:r>
            <w:r>
              <w:rPr>
                <w:noProof/>
                <w:webHidden/>
              </w:rPr>
              <w:t>11</w:t>
            </w:r>
            <w:r>
              <w:rPr>
                <w:noProof/>
                <w:webHidden/>
              </w:rPr>
              <w:fldChar w:fldCharType="end"/>
            </w:r>
          </w:hyperlink>
        </w:p>
        <w:p w14:paraId="272DA8EC" w14:textId="2C9713F1"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4" w:history="1">
            <w:r w:rsidRPr="007357F9">
              <w:rPr>
                <w:rStyle w:val="Hyperlink"/>
                <w:rFonts w:asciiTheme="majorHAnsi" w:eastAsia="MS Gothic" w:hAnsiTheme="majorHAnsi" w:cstheme="majorHAnsi"/>
                <w:b/>
                <w:bCs/>
                <w:noProof/>
                <w:lang w:val="es-ES"/>
              </w:rPr>
              <w:t>8.3.6</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Utilizar el trabajo de un experto</w:t>
            </w:r>
            <w:r>
              <w:rPr>
                <w:noProof/>
                <w:webHidden/>
              </w:rPr>
              <w:tab/>
            </w:r>
            <w:r>
              <w:rPr>
                <w:noProof/>
                <w:webHidden/>
              </w:rPr>
              <w:fldChar w:fldCharType="begin"/>
            </w:r>
            <w:r>
              <w:rPr>
                <w:noProof/>
                <w:webHidden/>
              </w:rPr>
              <w:instrText xml:space="preserve"> PAGEREF _Toc104292654 \h </w:instrText>
            </w:r>
            <w:r>
              <w:rPr>
                <w:noProof/>
                <w:webHidden/>
              </w:rPr>
            </w:r>
            <w:r>
              <w:rPr>
                <w:noProof/>
                <w:webHidden/>
              </w:rPr>
              <w:fldChar w:fldCharType="separate"/>
            </w:r>
            <w:r>
              <w:rPr>
                <w:noProof/>
                <w:webHidden/>
              </w:rPr>
              <w:t>11</w:t>
            </w:r>
            <w:r>
              <w:rPr>
                <w:noProof/>
                <w:webHidden/>
              </w:rPr>
              <w:fldChar w:fldCharType="end"/>
            </w:r>
          </w:hyperlink>
        </w:p>
        <w:p w14:paraId="1DB63336" w14:textId="16E7ACC4"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5" w:history="1">
            <w:r w:rsidRPr="007357F9">
              <w:rPr>
                <w:rStyle w:val="Hyperlink"/>
                <w:rFonts w:asciiTheme="majorHAnsi" w:eastAsia="MS Gothic" w:hAnsiTheme="majorHAnsi" w:cstheme="majorHAnsi"/>
                <w:b/>
                <w:bCs/>
                <w:noProof/>
              </w:rPr>
              <w:t>8.3.7</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Representaciones escritas</w:t>
            </w:r>
            <w:r>
              <w:rPr>
                <w:noProof/>
                <w:webHidden/>
              </w:rPr>
              <w:tab/>
            </w:r>
            <w:r>
              <w:rPr>
                <w:noProof/>
                <w:webHidden/>
              </w:rPr>
              <w:fldChar w:fldCharType="begin"/>
            </w:r>
            <w:r>
              <w:rPr>
                <w:noProof/>
                <w:webHidden/>
              </w:rPr>
              <w:instrText xml:space="preserve"> PAGEREF _Toc104292655 \h </w:instrText>
            </w:r>
            <w:r>
              <w:rPr>
                <w:noProof/>
                <w:webHidden/>
              </w:rPr>
            </w:r>
            <w:r>
              <w:rPr>
                <w:noProof/>
                <w:webHidden/>
              </w:rPr>
              <w:fldChar w:fldCharType="separate"/>
            </w:r>
            <w:r>
              <w:rPr>
                <w:noProof/>
                <w:webHidden/>
              </w:rPr>
              <w:t>11</w:t>
            </w:r>
            <w:r>
              <w:rPr>
                <w:noProof/>
                <w:webHidden/>
              </w:rPr>
              <w:fldChar w:fldCharType="end"/>
            </w:r>
          </w:hyperlink>
        </w:p>
        <w:p w14:paraId="71D77169" w14:textId="00016889"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6" w:history="1">
            <w:r w:rsidRPr="007357F9">
              <w:rPr>
                <w:rStyle w:val="Hyperlink"/>
                <w:rFonts w:asciiTheme="majorHAnsi" w:eastAsia="MS Gothic" w:hAnsiTheme="majorHAnsi" w:cstheme="majorHAnsi"/>
                <w:b/>
                <w:bCs/>
                <w:noProof/>
              </w:rPr>
              <w:t>8.3.8</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Carta complementaria</w:t>
            </w:r>
            <w:r>
              <w:rPr>
                <w:noProof/>
                <w:webHidden/>
              </w:rPr>
              <w:tab/>
            </w:r>
            <w:r>
              <w:rPr>
                <w:noProof/>
                <w:webHidden/>
              </w:rPr>
              <w:fldChar w:fldCharType="begin"/>
            </w:r>
            <w:r>
              <w:rPr>
                <w:noProof/>
                <w:webHidden/>
              </w:rPr>
              <w:instrText xml:space="preserve"> PAGEREF _Toc104292656 \h </w:instrText>
            </w:r>
            <w:r>
              <w:rPr>
                <w:noProof/>
                <w:webHidden/>
              </w:rPr>
            </w:r>
            <w:r>
              <w:rPr>
                <w:noProof/>
                <w:webHidden/>
              </w:rPr>
              <w:fldChar w:fldCharType="separate"/>
            </w:r>
            <w:r>
              <w:rPr>
                <w:noProof/>
                <w:webHidden/>
              </w:rPr>
              <w:t>12</w:t>
            </w:r>
            <w:r>
              <w:rPr>
                <w:noProof/>
                <w:webHidden/>
              </w:rPr>
              <w:fldChar w:fldCharType="end"/>
            </w:r>
          </w:hyperlink>
        </w:p>
        <w:p w14:paraId="7126BE54" w14:textId="7B8C9753"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57" w:history="1">
            <w:r w:rsidRPr="007357F9">
              <w:rPr>
                <w:rStyle w:val="Hyperlink"/>
                <w:rFonts w:asciiTheme="majorHAnsi" w:eastAsia="MS Gothic" w:hAnsiTheme="majorHAnsi" w:cstheme="majorHAnsi"/>
                <w:b/>
                <w:bCs/>
                <w:noProof/>
              </w:rPr>
              <w:t>8.3.9</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Memorando informativo ('Aide Mémoire')</w:t>
            </w:r>
            <w:r>
              <w:rPr>
                <w:noProof/>
                <w:webHidden/>
              </w:rPr>
              <w:tab/>
            </w:r>
            <w:r>
              <w:rPr>
                <w:noProof/>
                <w:webHidden/>
              </w:rPr>
              <w:fldChar w:fldCharType="begin"/>
            </w:r>
            <w:r>
              <w:rPr>
                <w:noProof/>
                <w:webHidden/>
              </w:rPr>
              <w:instrText xml:space="preserve"> PAGEREF _Toc104292657 \h </w:instrText>
            </w:r>
            <w:r>
              <w:rPr>
                <w:noProof/>
                <w:webHidden/>
              </w:rPr>
            </w:r>
            <w:r>
              <w:rPr>
                <w:noProof/>
                <w:webHidden/>
              </w:rPr>
              <w:fldChar w:fldCharType="separate"/>
            </w:r>
            <w:r>
              <w:rPr>
                <w:noProof/>
                <w:webHidden/>
              </w:rPr>
              <w:t>12</w:t>
            </w:r>
            <w:r>
              <w:rPr>
                <w:noProof/>
                <w:webHidden/>
              </w:rPr>
              <w:fldChar w:fldCharType="end"/>
            </w:r>
          </w:hyperlink>
        </w:p>
        <w:p w14:paraId="7660A003" w14:textId="74D3470D" w:rsidR="00A23D15" w:rsidRDefault="00A23D15">
          <w:pPr>
            <w:pStyle w:val="TOC3"/>
            <w:tabs>
              <w:tab w:val="left" w:pos="1320"/>
              <w:tab w:val="right" w:leader="dot" w:pos="9622"/>
            </w:tabs>
            <w:rPr>
              <w:rFonts w:eastAsiaTheme="minorEastAsia" w:cstheme="minorBidi"/>
              <w:i w:val="0"/>
              <w:iCs w:val="0"/>
              <w:noProof/>
              <w:sz w:val="22"/>
              <w:szCs w:val="22"/>
            </w:rPr>
          </w:pPr>
          <w:hyperlink w:anchor="_Toc104292658" w:history="1">
            <w:r w:rsidRPr="007357F9">
              <w:rPr>
                <w:rStyle w:val="Hyperlink"/>
                <w:rFonts w:asciiTheme="majorHAnsi" w:eastAsia="MS Gothic" w:hAnsiTheme="majorHAnsi" w:cstheme="majorHAnsi"/>
                <w:b/>
                <w:bCs/>
                <w:noProof/>
                <w:lang w:val="es-ES"/>
              </w:rPr>
              <w:t>8.3.10</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Reunión de clausura de la auditoría en el país</w:t>
            </w:r>
            <w:r>
              <w:rPr>
                <w:noProof/>
                <w:webHidden/>
              </w:rPr>
              <w:tab/>
            </w:r>
            <w:r>
              <w:rPr>
                <w:noProof/>
                <w:webHidden/>
              </w:rPr>
              <w:fldChar w:fldCharType="begin"/>
            </w:r>
            <w:r>
              <w:rPr>
                <w:noProof/>
                <w:webHidden/>
              </w:rPr>
              <w:instrText xml:space="preserve"> PAGEREF _Toc104292658 \h </w:instrText>
            </w:r>
            <w:r>
              <w:rPr>
                <w:noProof/>
                <w:webHidden/>
              </w:rPr>
            </w:r>
            <w:r>
              <w:rPr>
                <w:noProof/>
                <w:webHidden/>
              </w:rPr>
              <w:fldChar w:fldCharType="separate"/>
            </w:r>
            <w:r>
              <w:rPr>
                <w:noProof/>
                <w:webHidden/>
              </w:rPr>
              <w:t>12</w:t>
            </w:r>
            <w:r>
              <w:rPr>
                <w:noProof/>
                <w:webHidden/>
              </w:rPr>
              <w:fldChar w:fldCharType="end"/>
            </w:r>
          </w:hyperlink>
        </w:p>
        <w:p w14:paraId="73E78AE6" w14:textId="5B8D7196" w:rsidR="00A23D15" w:rsidRDefault="00A23D15">
          <w:pPr>
            <w:pStyle w:val="TOC1"/>
            <w:tabs>
              <w:tab w:val="right" w:leader="dot" w:pos="9622"/>
            </w:tabs>
            <w:rPr>
              <w:rFonts w:eastAsiaTheme="minorEastAsia" w:cstheme="minorBidi"/>
              <w:b w:val="0"/>
              <w:bCs w:val="0"/>
              <w:caps w:val="0"/>
              <w:noProof/>
              <w:sz w:val="22"/>
              <w:szCs w:val="22"/>
            </w:rPr>
          </w:pPr>
          <w:hyperlink w:anchor="_Toc104292659" w:history="1">
            <w:r w:rsidRPr="007357F9">
              <w:rPr>
                <w:rStyle w:val="Hyperlink"/>
                <w:rFonts w:asciiTheme="majorHAnsi" w:eastAsia="MS Gothic" w:hAnsiTheme="majorHAnsi" w:cstheme="majorHAnsi"/>
                <w:noProof/>
                <w:lang w:val="es"/>
              </w:rPr>
              <w:t>10 Carta de gestión</w:t>
            </w:r>
            <w:r>
              <w:rPr>
                <w:noProof/>
                <w:webHidden/>
              </w:rPr>
              <w:tab/>
            </w:r>
            <w:r>
              <w:rPr>
                <w:noProof/>
                <w:webHidden/>
              </w:rPr>
              <w:fldChar w:fldCharType="begin"/>
            </w:r>
            <w:r>
              <w:rPr>
                <w:noProof/>
                <w:webHidden/>
              </w:rPr>
              <w:instrText xml:space="preserve"> PAGEREF _Toc104292659 \h </w:instrText>
            </w:r>
            <w:r>
              <w:rPr>
                <w:noProof/>
                <w:webHidden/>
              </w:rPr>
            </w:r>
            <w:r>
              <w:rPr>
                <w:noProof/>
                <w:webHidden/>
              </w:rPr>
              <w:fldChar w:fldCharType="separate"/>
            </w:r>
            <w:r>
              <w:rPr>
                <w:noProof/>
                <w:webHidden/>
              </w:rPr>
              <w:t>12</w:t>
            </w:r>
            <w:r>
              <w:rPr>
                <w:noProof/>
                <w:webHidden/>
              </w:rPr>
              <w:fldChar w:fldCharType="end"/>
            </w:r>
          </w:hyperlink>
        </w:p>
        <w:p w14:paraId="14C8847B" w14:textId="2368080D"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60" w:history="1">
            <w:r w:rsidRPr="007357F9">
              <w:rPr>
                <w:rStyle w:val="Hyperlink"/>
                <w:rFonts w:asciiTheme="majorHAnsi" w:eastAsia="MS Gothic" w:hAnsiTheme="majorHAnsi" w:cstheme="majorHAnsi"/>
                <w:b/>
                <w:bCs/>
                <w:noProof/>
              </w:rPr>
              <w:t>10.1</w:t>
            </w:r>
            <w:r>
              <w:rPr>
                <w:rFonts w:eastAsiaTheme="minorEastAsia" w:cstheme="minorBidi"/>
                <w:i w:val="0"/>
                <w:iCs w:val="0"/>
                <w:noProof/>
                <w:sz w:val="22"/>
                <w:szCs w:val="22"/>
              </w:rPr>
              <w:tab/>
            </w:r>
            <w:r w:rsidRPr="007357F9">
              <w:rPr>
                <w:rStyle w:val="Hyperlink"/>
                <w:rFonts w:asciiTheme="majorHAnsi" w:hAnsiTheme="majorHAnsi" w:cstheme="majorHAnsi"/>
                <w:b/>
                <w:bCs/>
                <w:noProof/>
                <w:lang w:val="es"/>
              </w:rPr>
              <w:t>Marco de controles internos</w:t>
            </w:r>
            <w:r>
              <w:rPr>
                <w:noProof/>
                <w:webHidden/>
              </w:rPr>
              <w:tab/>
            </w:r>
            <w:r>
              <w:rPr>
                <w:noProof/>
                <w:webHidden/>
              </w:rPr>
              <w:fldChar w:fldCharType="begin"/>
            </w:r>
            <w:r>
              <w:rPr>
                <w:noProof/>
                <w:webHidden/>
              </w:rPr>
              <w:instrText xml:space="preserve"> PAGEREF _Toc104292660 \h </w:instrText>
            </w:r>
            <w:r>
              <w:rPr>
                <w:noProof/>
                <w:webHidden/>
              </w:rPr>
            </w:r>
            <w:r>
              <w:rPr>
                <w:noProof/>
                <w:webHidden/>
              </w:rPr>
              <w:fldChar w:fldCharType="separate"/>
            </w:r>
            <w:r>
              <w:rPr>
                <w:noProof/>
                <w:webHidden/>
              </w:rPr>
              <w:t>13</w:t>
            </w:r>
            <w:r>
              <w:rPr>
                <w:noProof/>
                <w:webHidden/>
              </w:rPr>
              <w:fldChar w:fldCharType="end"/>
            </w:r>
          </w:hyperlink>
        </w:p>
        <w:p w14:paraId="6B8F1DF3" w14:textId="76DD9F0C"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61" w:history="1">
            <w:r w:rsidRPr="007357F9">
              <w:rPr>
                <w:rStyle w:val="Hyperlink"/>
                <w:rFonts w:asciiTheme="majorHAnsi" w:eastAsia="MS Gothic" w:hAnsiTheme="majorHAnsi" w:cstheme="majorHAnsi"/>
                <w:b/>
                <w:bCs/>
                <w:noProof/>
              </w:rPr>
              <w:t>10.2</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Gestión de riesgos</w:t>
            </w:r>
            <w:r>
              <w:rPr>
                <w:noProof/>
                <w:webHidden/>
              </w:rPr>
              <w:tab/>
            </w:r>
            <w:r>
              <w:rPr>
                <w:noProof/>
                <w:webHidden/>
              </w:rPr>
              <w:fldChar w:fldCharType="begin"/>
            </w:r>
            <w:r>
              <w:rPr>
                <w:noProof/>
                <w:webHidden/>
              </w:rPr>
              <w:instrText xml:space="preserve"> PAGEREF _Toc104292661 \h </w:instrText>
            </w:r>
            <w:r>
              <w:rPr>
                <w:noProof/>
                <w:webHidden/>
              </w:rPr>
            </w:r>
            <w:r>
              <w:rPr>
                <w:noProof/>
                <w:webHidden/>
              </w:rPr>
              <w:fldChar w:fldCharType="separate"/>
            </w:r>
            <w:r>
              <w:rPr>
                <w:noProof/>
                <w:webHidden/>
              </w:rPr>
              <w:t>14</w:t>
            </w:r>
            <w:r>
              <w:rPr>
                <w:noProof/>
                <w:webHidden/>
              </w:rPr>
              <w:fldChar w:fldCharType="end"/>
            </w:r>
          </w:hyperlink>
        </w:p>
        <w:p w14:paraId="6C7CE71D" w14:textId="3CFABE51" w:rsidR="00A23D15" w:rsidRDefault="00A23D15">
          <w:pPr>
            <w:pStyle w:val="TOC3"/>
            <w:tabs>
              <w:tab w:val="left" w:pos="1100"/>
              <w:tab w:val="right" w:leader="dot" w:pos="9622"/>
            </w:tabs>
            <w:rPr>
              <w:rFonts w:eastAsiaTheme="minorEastAsia" w:cstheme="minorBidi"/>
              <w:i w:val="0"/>
              <w:iCs w:val="0"/>
              <w:noProof/>
              <w:sz w:val="22"/>
              <w:szCs w:val="22"/>
            </w:rPr>
          </w:pPr>
          <w:hyperlink w:anchor="_Toc104292662" w:history="1">
            <w:r w:rsidRPr="007357F9">
              <w:rPr>
                <w:rStyle w:val="Hyperlink"/>
                <w:rFonts w:asciiTheme="majorHAnsi" w:eastAsia="MS Gothic" w:hAnsiTheme="majorHAnsi" w:cstheme="majorHAnsi"/>
                <w:b/>
                <w:bCs/>
                <w:noProof/>
              </w:rPr>
              <w:t>10.3</w:t>
            </w:r>
            <w:r>
              <w:rPr>
                <w:rFonts w:eastAsiaTheme="minorEastAsia" w:cstheme="minorBidi"/>
                <w:i w:val="0"/>
                <w:iCs w:val="0"/>
                <w:noProof/>
                <w:sz w:val="22"/>
                <w:szCs w:val="22"/>
              </w:rPr>
              <w:tab/>
            </w:r>
            <w:r w:rsidRPr="007357F9">
              <w:rPr>
                <w:rStyle w:val="Hyperlink"/>
                <w:rFonts w:asciiTheme="majorHAnsi" w:eastAsia="MS Gothic" w:hAnsiTheme="majorHAnsi" w:cstheme="majorHAnsi"/>
                <w:b/>
                <w:bCs/>
                <w:noProof/>
                <w:lang w:val="es"/>
              </w:rPr>
              <w:t>Otras divulgaciones importantes</w:t>
            </w:r>
            <w:r>
              <w:rPr>
                <w:noProof/>
                <w:webHidden/>
              </w:rPr>
              <w:tab/>
            </w:r>
            <w:r>
              <w:rPr>
                <w:noProof/>
                <w:webHidden/>
              </w:rPr>
              <w:fldChar w:fldCharType="begin"/>
            </w:r>
            <w:r>
              <w:rPr>
                <w:noProof/>
                <w:webHidden/>
              </w:rPr>
              <w:instrText xml:space="preserve"> PAGEREF _Toc104292662 \h </w:instrText>
            </w:r>
            <w:r>
              <w:rPr>
                <w:noProof/>
                <w:webHidden/>
              </w:rPr>
            </w:r>
            <w:r>
              <w:rPr>
                <w:noProof/>
                <w:webHidden/>
              </w:rPr>
              <w:fldChar w:fldCharType="separate"/>
            </w:r>
            <w:r>
              <w:rPr>
                <w:noProof/>
                <w:webHidden/>
              </w:rPr>
              <w:t>14</w:t>
            </w:r>
            <w:r>
              <w:rPr>
                <w:noProof/>
                <w:webHidden/>
              </w:rPr>
              <w:fldChar w:fldCharType="end"/>
            </w:r>
          </w:hyperlink>
        </w:p>
        <w:p w14:paraId="0EBB3CD9" w14:textId="6C108156"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63" w:history="1">
            <w:r w:rsidRPr="007357F9">
              <w:rPr>
                <w:rStyle w:val="Hyperlink"/>
                <w:rFonts w:asciiTheme="majorHAnsi" w:eastAsia="MS Gothic" w:hAnsiTheme="majorHAnsi" w:cstheme="majorHAnsi"/>
                <w:noProof/>
                <w:lang w:val="es-ES"/>
              </w:rPr>
              <w:t>11</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Proceso de revisión del informe provisional</w:t>
            </w:r>
            <w:r>
              <w:rPr>
                <w:noProof/>
                <w:webHidden/>
              </w:rPr>
              <w:tab/>
            </w:r>
            <w:r>
              <w:rPr>
                <w:noProof/>
                <w:webHidden/>
              </w:rPr>
              <w:fldChar w:fldCharType="begin"/>
            </w:r>
            <w:r>
              <w:rPr>
                <w:noProof/>
                <w:webHidden/>
              </w:rPr>
              <w:instrText xml:space="preserve"> PAGEREF _Toc104292663 \h </w:instrText>
            </w:r>
            <w:r>
              <w:rPr>
                <w:noProof/>
                <w:webHidden/>
              </w:rPr>
            </w:r>
            <w:r>
              <w:rPr>
                <w:noProof/>
                <w:webHidden/>
              </w:rPr>
              <w:fldChar w:fldCharType="separate"/>
            </w:r>
            <w:r>
              <w:rPr>
                <w:noProof/>
                <w:webHidden/>
              </w:rPr>
              <w:t>14</w:t>
            </w:r>
            <w:r>
              <w:rPr>
                <w:noProof/>
                <w:webHidden/>
              </w:rPr>
              <w:fldChar w:fldCharType="end"/>
            </w:r>
          </w:hyperlink>
        </w:p>
        <w:p w14:paraId="401A074E" w14:textId="1A75AF8C"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64" w:history="1">
            <w:r w:rsidRPr="007357F9">
              <w:rPr>
                <w:rStyle w:val="Hyperlink"/>
                <w:rFonts w:asciiTheme="majorHAnsi" w:eastAsia="MS Gothic" w:hAnsiTheme="majorHAnsi" w:cstheme="majorHAnsi"/>
                <w:noProof/>
              </w:rPr>
              <w:t>12</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Informe final e idioma</w:t>
            </w:r>
            <w:r>
              <w:rPr>
                <w:noProof/>
                <w:webHidden/>
              </w:rPr>
              <w:tab/>
            </w:r>
            <w:r>
              <w:rPr>
                <w:noProof/>
                <w:webHidden/>
              </w:rPr>
              <w:fldChar w:fldCharType="begin"/>
            </w:r>
            <w:r>
              <w:rPr>
                <w:noProof/>
                <w:webHidden/>
              </w:rPr>
              <w:instrText xml:space="preserve"> PAGEREF _Toc104292664 \h </w:instrText>
            </w:r>
            <w:r>
              <w:rPr>
                <w:noProof/>
                <w:webHidden/>
              </w:rPr>
            </w:r>
            <w:r>
              <w:rPr>
                <w:noProof/>
                <w:webHidden/>
              </w:rPr>
              <w:fldChar w:fldCharType="separate"/>
            </w:r>
            <w:r>
              <w:rPr>
                <w:noProof/>
                <w:webHidden/>
              </w:rPr>
              <w:t>15</w:t>
            </w:r>
            <w:r>
              <w:rPr>
                <w:noProof/>
                <w:webHidden/>
              </w:rPr>
              <w:fldChar w:fldCharType="end"/>
            </w:r>
          </w:hyperlink>
        </w:p>
        <w:p w14:paraId="41971733" w14:textId="73B86908"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65" w:history="1">
            <w:r w:rsidRPr="007357F9">
              <w:rPr>
                <w:rStyle w:val="Hyperlink"/>
                <w:rFonts w:asciiTheme="majorHAnsi" w:eastAsia="MS Gothic" w:hAnsiTheme="majorHAnsi" w:cstheme="majorHAnsi"/>
                <w:noProof/>
                <w:lang w:val="es-ES"/>
              </w:rPr>
              <w:t>13</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Evaluación del desempeño, rotación y rescisión del contrato del auditor</w:t>
            </w:r>
            <w:r>
              <w:rPr>
                <w:noProof/>
                <w:webHidden/>
              </w:rPr>
              <w:tab/>
            </w:r>
            <w:r>
              <w:rPr>
                <w:noProof/>
                <w:webHidden/>
              </w:rPr>
              <w:fldChar w:fldCharType="begin"/>
            </w:r>
            <w:r>
              <w:rPr>
                <w:noProof/>
                <w:webHidden/>
              </w:rPr>
              <w:instrText xml:space="preserve"> PAGEREF _Toc104292665 \h </w:instrText>
            </w:r>
            <w:r>
              <w:rPr>
                <w:noProof/>
                <w:webHidden/>
              </w:rPr>
            </w:r>
            <w:r>
              <w:rPr>
                <w:noProof/>
                <w:webHidden/>
              </w:rPr>
              <w:fldChar w:fldCharType="separate"/>
            </w:r>
            <w:r>
              <w:rPr>
                <w:noProof/>
                <w:webHidden/>
              </w:rPr>
              <w:t>15</w:t>
            </w:r>
            <w:r>
              <w:rPr>
                <w:noProof/>
                <w:webHidden/>
              </w:rPr>
              <w:fldChar w:fldCharType="end"/>
            </w:r>
          </w:hyperlink>
        </w:p>
        <w:p w14:paraId="5C61CD87" w14:textId="4E46734C" w:rsidR="00A23D15" w:rsidRDefault="00A23D15">
          <w:pPr>
            <w:pStyle w:val="TOC1"/>
            <w:tabs>
              <w:tab w:val="left" w:pos="440"/>
              <w:tab w:val="right" w:leader="dot" w:pos="9622"/>
            </w:tabs>
            <w:rPr>
              <w:rFonts w:eastAsiaTheme="minorEastAsia" w:cstheme="minorBidi"/>
              <w:b w:val="0"/>
              <w:bCs w:val="0"/>
              <w:caps w:val="0"/>
              <w:noProof/>
              <w:sz w:val="22"/>
              <w:szCs w:val="22"/>
            </w:rPr>
          </w:pPr>
          <w:hyperlink w:anchor="_Toc104292666" w:history="1">
            <w:r w:rsidRPr="007357F9">
              <w:rPr>
                <w:rStyle w:val="Hyperlink"/>
                <w:rFonts w:asciiTheme="majorHAnsi" w:eastAsia="MS Gothic" w:hAnsiTheme="majorHAnsi" w:cstheme="majorHAnsi"/>
                <w:noProof/>
              </w:rPr>
              <w:t>14</w:t>
            </w:r>
            <w:r>
              <w:rPr>
                <w:rFonts w:eastAsiaTheme="minorEastAsia" w:cstheme="minorBidi"/>
                <w:b w:val="0"/>
                <w:bCs w:val="0"/>
                <w:caps w:val="0"/>
                <w:noProof/>
                <w:sz w:val="22"/>
                <w:szCs w:val="22"/>
              </w:rPr>
              <w:tab/>
            </w:r>
            <w:r w:rsidRPr="007357F9">
              <w:rPr>
                <w:rStyle w:val="Hyperlink"/>
                <w:rFonts w:asciiTheme="majorHAnsi" w:eastAsia="MS Gothic" w:hAnsiTheme="majorHAnsi" w:cstheme="majorHAnsi"/>
                <w:noProof/>
                <w:lang w:val="es"/>
              </w:rPr>
              <w:t>Información general</w:t>
            </w:r>
            <w:r>
              <w:rPr>
                <w:noProof/>
                <w:webHidden/>
              </w:rPr>
              <w:tab/>
            </w:r>
            <w:r>
              <w:rPr>
                <w:noProof/>
                <w:webHidden/>
              </w:rPr>
              <w:fldChar w:fldCharType="begin"/>
            </w:r>
            <w:r>
              <w:rPr>
                <w:noProof/>
                <w:webHidden/>
              </w:rPr>
              <w:instrText xml:space="preserve"> PAGEREF _Toc104292666 \h </w:instrText>
            </w:r>
            <w:r>
              <w:rPr>
                <w:noProof/>
                <w:webHidden/>
              </w:rPr>
            </w:r>
            <w:r>
              <w:rPr>
                <w:noProof/>
                <w:webHidden/>
              </w:rPr>
              <w:fldChar w:fldCharType="separate"/>
            </w:r>
            <w:r>
              <w:rPr>
                <w:noProof/>
                <w:webHidden/>
              </w:rPr>
              <w:t>15</w:t>
            </w:r>
            <w:r>
              <w:rPr>
                <w:noProof/>
                <w:webHidden/>
              </w:rPr>
              <w:fldChar w:fldCharType="end"/>
            </w:r>
          </w:hyperlink>
        </w:p>
        <w:p w14:paraId="2E6BB849" w14:textId="17CD5129"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14:paraId="75899D43" w14:textId="77777777" w:rsidR="00C86D6F" w:rsidRPr="004B0F08" w:rsidRDefault="00C86D6F" w:rsidP="00C86D6F">
      <w:pPr>
        <w:spacing w:before="0" w:after="0" w:line="240" w:lineRule="auto"/>
        <w:jc w:val="both"/>
        <w:rPr>
          <w:rFonts w:eastAsia="MS Gothic" w:cs="Arial"/>
          <w:bCs/>
          <w:color w:val="000000"/>
          <w:szCs w:val="28"/>
        </w:rPr>
      </w:pPr>
      <w:r>
        <w:rPr>
          <w:rFonts w:eastAsia="MS Mincho" w:cs="Arial"/>
          <w:color w:val="000000"/>
          <w:szCs w:val="24"/>
          <w:lang w:val="es"/>
        </w:rPr>
        <w:br w:type="page"/>
      </w:r>
    </w:p>
    <w:p w14:paraId="3B62FDE3" w14:textId="77777777" w:rsidR="00382C10" w:rsidRPr="005819FD" w:rsidRDefault="00382C10" w:rsidP="00382C10">
      <w:pPr>
        <w:spacing w:before="0" w:after="120" w:line="240" w:lineRule="auto"/>
        <w:rPr>
          <w:rFonts w:asciiTheme="majorHAnsi" w:eastAsia="MS Mincho" w:hAnsiTheme="majorHAnsi" w:cstheme="majorHAnsi"/>
          <w:b/>
          <w:sz w:val="28"/>
          <w:lang w:val="es-ES"/>
        </w:rPr>
      </w:pPr>
      <w:bookmarkStart w:id="1" w:name="_Hlk12892576"/>
      <w:r>
        <w:rPr>
          <w:rFonts w:asciiTheme="majorHAnsi" w:eastAsia="MS Mincho" w:hAnsiTheme="majorHAnsi" w:cstheme="majorHAnsi"/>
          <w:b/>
          <w:bCs/>
          <w:noProof/>
          <w:color w:val="000000"/>
          <w:sz w:val="28"/>
          <w:szCs w:val="24"/>
          <w:lang w:val="es"/>
        </w:rPr>
        <w:lastRenderedPageBreak/>
        <w:t>Términos de Referencia para la auditoría de estados financieros de una subvención con fines especiales (SPGFS)</w:t>
      </w:r>
    </w:p>
    <w:p w14:paraId="5FB2D2B1" w14:textId="77777777" w:rsidR="00382C10" w:rsidRPr="005819FD" w:rsidRDefault="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es-ES"/>
        </w:rPr>
      </w:pPr>
      <w:bookmarkStart w:id="2" w:name="_Toc5026408"/>
      <w:bookmarkStart w:id="3" w:name="_Toc19971607"/>
      <w:bookmarkStart w:id="4" w:name="_Toc19971773"/>
      <w:bookmarkStart w:id="5" w:name="_Toc19971939"/>
      <w:bookmarkStart w:id="6" w:name="_Toc19972105"/>
      <w:bookmarkStart w:id="7" w:name="_Toc19972271"/>
      <w:bookmarkStart w:id="8" w:name="_Toc19972437"/>
      <w:bookmarkStart w:id="9" w:name="_Toc20466631"/>
      <w:bookmarkStart w:id="10" w:name="_Toc104292634"/>
      <w:bookmarkEnd w:id="1"/>
      <w:r>
        <w:rPr>
          <w:rFonts w:asciiTheme="majorHAnsi" w:eastAsia="MS Gothic" w:hAnsiTheme="majorHAnsi" w:cstheme="majorHAnsi"/>
          <w:b/>
          <w:bCs/>
          <w:noProof/>
          <w:color w:val="000000"/>
          <w:sz w:val="24"/>
          <w:szCs w:val="28"/>
          <w:lang w:val="es"/>
        </w:rPr>
        <w:t>Antecedentes del programa, estructura de la auditoría y descripción de las entidades</w:t>
      </w:r>
      <w:bookmarkEnd w:id="2"/>
      <w:bookmarkEnd w:id="3"/>
      <w:bookmarkEnd w:id="4"/>
      <w:bookmarkEnd w:id="5"/>
      <w:bookmarkEnd w:id="6"/>
      <w:bookmarkEnd w:id="7"/>
      <w:bookmarkEnd w:id="8"/>
      <w:bookmarkEnd w:id="9"/>
      <w:bookmarkEnd w:id="10"/>
    </w:p>
    <w:p w14:paraId="6A49B959" w14:textId="77777777" w:rsidR="00382C10" w:rsidRPr="005819FD" w:rsidRDefault="00382C10" w:rsidP="00382C10">
      <w:pPr>
        <w:keepNext/>
        <w:keepLines/>
        <w:numPr>
          <w:ilvl w:val="1"/>
          <w:numId w:val="42"/>
        </w:numPr>
        <w:spacing w:before="240" w:after="120" w:line="240" w:lineRule="auto"/>
        <w:outlineLvl w:val="0"/>
        <w:rPr>
          <w:rFonts w:asciiTheme="majorHAnsi" w:eastAsia="MS Gothic" w:hAnsiTheme="majorHAnsi" w:cstheme="majorHAnsi"/>
          <w:b/>
          <w:bCs/>
          <w:color w:val="000000"/>
          <w:sz w:val="24"/>
          <w:szCs w:val="28"/>
          <w:lang w:val="es-ES"/>
        </w:rPr>
      </w:pPr>
      <w:bookmarkStart w:id="11" w:name="_Toc20466632"/>
      <w:bookmarkStart w:id="12" w:name="_Toc19972438"/>
      <w:bookmarkStart w:id="13" w:name="_Toc19972272"/>
      <w:bookmarkStart w:id="14" w:name="_Toc19972106"/>
      <w:bookmarkStart w:id="15" w:name="_Toc19971940"/>
      <w:bookmarkStart w:id="16" w:name="_Toc19971774"/>
      <w:bookmarkStart w:id="17" w:name="_Toc19971608"/>
      <w:bookmarkStart w:id="18" w:name="_Toc5026409"/>
      <w:bookmarkStart w:id="19" w:name="_Toc104292635"/>
      <w:r>
        <w:rPr>
          <w:rFonts w:asciiTheme="majorHAnsi" w:eastAsia="MS Gothic" w:hAnsiTheme="majorHAnsi" w:cstheme="majorHAnsi"/>
          <w:b/>
          <w:bCs/>
          <w:noProof/>
          <w:color w:val="000000"/>
          <w:sz w:val="24"/>
          <w:szCs w:val="28"/>
          <w:lang w:val="es"/>
        </w:rPr>
        <w:t>Antecedentes del programa: [a cumplimentar por el Receptor Principal]</w:t>
      </w:r>
      <w:bookmarkEnd w:id="11"/>
      <w:bookmarkEnd w:id="12"/>
      <w:bookmarkEnd w:id="13"/>
      <w:bookmarkEnd w:id="14"/>
      <w:bookmarkEnd w:id="15"/>
      <w:bookmarkEnd w:id="16"/>
      <w:bookmarkEnd w:id="17"/>
      <w:bookmarkEnd w:id="18"/>
      <w:bookmarkEnd w:id="19"/>
      <w:r>
        <w:rPr>
          <w:rFonts w:asciiTheme="majorHAnsi" w:eastAsia="MS Gothic" w:hAnsiTheme="majorHAnsi" w:cstheme="majorHAnsi"/>
          <w:b/>
          <w:bCs/>
          <w:noProof/>
          <w:color w:val="000000"/>
          <w:sz w:val="24"/>
          <w:szCs w:val="28"/>
          <w:lang w:val="es"/>
        </w:rPr>
        <w:t xml:space="preserve"> </w:t>
      </w:r>
    </w:p>
    <w:p w14:paraId="29587E80" w14:textId="66819F4E" w:rsidR="00382C10" w:rsidRPr="005819FD" w:rsidRDefault="00382C10" w:rsidP="00382C10">
      <w:pPr>
        <w:numPr>
          <w:ilvl w:val="0"/>
          <w:numId w:val="36"/>
        </w:numPr>
        <w:spacing w:before="0" w:after="120" w:line="240" w:lineRule="auto"/>
        <w:jc w:val="both"/>
        <w:rPr>
          <w:rFonts w:asciiTheme="majorHAnsi" w:eastAsia="Calibri" w:hAnsiTheme="majorHAnsi" w:cstheme="majorHAnsi"/>
          <w:b/>
          <w:lang w:val="es-ES"/>
        </w:rPr>
      </w:pPr>
      <w:r>
        <w:rPr>
          <w:rFonts w:asciiTheme="majorHAnsi" w:eastAsia="Calibri" w:hAnsiTheme="majorHAnsi" w:cstheme="majorHAnsi"/>
          <w:noProof/>
          <w:lang w:val="es"/>
        </w:rPr>
        <w:t xml:space="preserve">El Receptor </w:t>
      </w:r>
      <w:bookmarkStart w:id="20" w:name="_Hlk22825161"/>
      <w:r>
        <w:rPr>
          <w:rFonts w:asciiTheme="majorHAnsi" w:eastAsia="Calibri" w:hAnsiTheme="majorHAnsi" w:cstheme="majorHAnsi"/>
          <w:noProof/>
          <w:lang w:val="es"/>
        </w:rPr>
        <w:t xml:space="preserve">Principal </w:t>
      </w:r>
      <w:bookmarkEnd w:id="20"/>
      <w:r>
        <w:rPr>
          <w:rFonts w:asciiTheme="majorHAnsi" w:eastAsia="Calibri" w:hAnsiTheme="majorHAnsi" w:cstheme="majorHAnsi"/>
          <w:noProof/>
          <w:lang w:val="es"/>
        </w:rPr>
        <w:t>debe facilitar una breve descripción del contexto de la subvención que incluya sus objetivos y actividades principales. Puede hacer referencia a la descripción del programa en la</w:t>
      </w:r>
      <w:r>
        <w:rPr>
          <w:rFonts w:asciiTheme="majorHAnsi" w:eastAsia="Calibri" w:hAnsiTheme="majorHAnsi" w:cstheme="majorHAnsi"/>
          <w:lang w:val="es"/>
        </w:rPr>
        <w:t xml:space="preserve"> confirmación de la subvención. </w:t>
      </w:r>
    </w:p>
    <w:p w14:paraId="42F9AEF2" w14:textId="4F5FB0F0"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El Receptor Principal debe describir cualquier información clave relativa al monto de la subvención y al ciclo de ejecución que sea importante para comprender el alcance de la auditoría. Por ejemplo, la fase de la subvención, el monto total comprometido, cualquier cambio producido en la estructura de la subvención, como su consolidación con otra subvención, el monto presupuestado para el año auditado y el monto desembolsado por el Fondo Mundial al Receptor Principal y por el Receptor Principal a los subreceptores.</w:t>
      </w:r>
    </w:p>
    <w:p w14:paraId="7FB94776" w14:textId="77777777" w:rsidR="00382C10" w:rsidRPr="005819FD" w:rsidRDefault="00382C10" w:rsidP="00382C10">
      <w:pPr>
        <w:keepNext/>
        <w:keepLines/>
        <w:numPr>
          <w:ilvl w:val="1"/>
          <w:numId w:val="42"/>
        </w:numPr>
        <w:spacing w:before="240" w:after="120" w:line="240" w:lineRule="auto"/>
        <w:outlineLvl w:val="0"/>
        <w:rPr>
          <w:rFonts w:asciiTheme="majorHAnsi" w:eastAsia="MS Gothic" w:hAnsiTheme="majorHAnsi" w:cstheme="majorHAnsi"/>
          <w:b/>
          <w:bCs/>
          <w:noProof/>
          <w:color w:val="000000"/>
          <w:sz w:val="24"/>
          <w:szCs w:val="28"/>
          <w:lang w:val="es-ES"/>
        </w:rPr>
      </w:pPr>
      <w:bookmarkStart w:id="21" w:name="_Toc20466633"/>
      <w:bookmarkStart w:id="22" w:name="_Toc19972439"/>
      <w:bookmarkStart w:id="23" w:name="_Toc19972273"/>
      <w:bookmarkStart w:id="24" w:name="_Toc19972107"/>
      <w:bookmarkStart w:id="25" w:name="_Toc19971941"/>
      <w:bookmarkStart w:id="26" w:name="_Toc19971775"/>
      <w:bookmarkStart w:id="27" w:name="_Toc19971609"/>
      <w:bookmarkStart w:id="28" w:name="_Toc5026410"/>
      <w:bookmarkStart w:id="29" w:name="_Toc104292636"/>
      <w:r>
        <w:rPr>
          <w:rFonts w:asciiTheme="majorHAnsi" w:eastAsia="MS Gothic" w:hAnsiTheme="majorHAnsi" w:cstheme="majorHAnsi"/>
          <w:b/>
          <w:bCs/>
          <w:noProof/>
          <w:color w:val="000000"/>
          <w:sz w:val="24"/>
          <w:szCs w:val="28"/>
          <w:lang w:val="es"/>
        </w:rPr>
        <w:t>Entidades del programa y enfoque de la auditoría: [a cumplimentar por el Receptor Principal]</w:t>
      </w:r>
      <w:bookmarkEnd w:id="21"/>
      <w:bookmarkEnd w:id="22"/>
      <w:bookmarkEnd w:id="23"/>
      <w:bookmarkEnd w:id="24"/>
      <w:bookmarkEnd w:id="25"/>
      <w:bookmarkEnd w:id="26"/>
      <w:bookmarkEnd w:id="27"/>
      <w:bookmarkEnd w:id="28"/>
      <w:bookmarkEnd w:id="29"/>
      <w:r>
        <w:rPr>
          <w:rFonts w:asciiTheme="majorHAnsi" w:eastAsia="MS Gothic" w:hAnsiTheme="majorHAnsi" w:cstheme="majorHAnsi"/>
          <w:b/>
          <w:bCs/>
          <w:noProof/>
          <w:color w:val="000000"/>
          <w:sz w:val="24"/>
          <w:szCs w:val="28"/>
          <w:lang w:val="es"/>
        </w:rPr>
        <w:t xml:space="preserve"> </w:t>
      </w:r>
    </w:p>
    <w:p w14:paraId="01F77A00" w14:textId="03ACE68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 xml:space="preserve">El Receptor Principal debe describir la naturaleza de la auditoría y cómo está categorizada, explicando cualquier excepción que haya sido acordada. </w:t>
      </w:r>
      <w:r w:rsidR="00AB02C4">
        <w:rPr>
          <w:rFonts w:asciiTheme="majorHAnsi" w:eastAsia="Calibri" w:hAnsiTheme="majorHAnsi" w:cstheme="majorHAnsi"/>
          <w:noProof/>
          <w:lang w:val="es"/>
        </w:rPr>
        <w:t>Debe</w:t>
      </w:r>
      <w:r>
        <w:rPr>
          <w:rFonts w:asciiTheme="majorHAnsi" w:eastAsia="Calibri" w:hAnsiTheme="majorHAnsi" w:cstheme="majorHAnsi"/>
          <w:noProof/>
          <w:lang w:val="es"/>
        </w:rPr>
        <w:t xml:space="preserve"> exponer en forma de tabla todas las entidades cubiertas por la auditoría, incluyendo su nombre, condición jurídica, alcance de la auditoría, principales actividades financiadas y el monto de gasto en el período de notificación, así como cualquier otra información que se considere pertinente y que el auditor deba conocer.</w:t>
      </w:r>
    </w:p>
    <w:p w14:paraId="0E0FF67E" w14:textId="77777777" w:rsidR="00382C10" w:rsidRPr="005819FD" w:rsidRDefault="00382C10" w:rsidP="00382C10">
      <w:pPr>
        <w:keepNext/>
        <w:keepLines/>
        <w:numPr>
          <w:ilvl w:val="0"/>
          <w:numId w:val="29"/>
        </w:numPr>
        <w:spacing w:before="240" w:after="120" w:line="240" w:lineRule="auto"/>
        <w:outlineLvl w:val="0"/>
        <w:rPr>
          <w:rFonts w:asciiTheme="majorHAnsi" w:eastAsia="MS Gothic" w:hAnsiTheme="majorHAnsi" w:cstheme="majorHAnsi"/>
          <w:b/>
          <w:bCs/>
          <w:noProof/>
          <w:color w:val="000000"/>
          <w:sz w:val="24"/>
          <w:szCs w:val="28"/>
          <w:lang w:val="es-ES"/>
        </w:rPr>
      </w:pPr>
      <w:bookmarkStart w:id="30" w:name="_Toc20466634"/>
      <w:bookmarkStart w:id="31" w:name="_Toc19972440"/>
      <w:bookmarkStart w:id="32" w:name="_Toc19972274"/>
      <w:bookmarkStart w:id="33" w:name="_Toc19972108"/>
      <w:bookmarkStart w:id="34" w:name="_Toc19971942"/>
      <w:bookmarkStart w:id="35" w:name="_Toc19971776"/>
      <w:bookmarkStart w:id="36" w:name="_Toc19971610"/>
      <w:bookmarkStart w:id="37" w:name="_Toc5026411"/>
      <w:bookmarkStart w:id="38" w:name="_Toc104292637"/>
      <w:r>
        <w:rPr>
          <w:rFonts w:asciiTheme="majorHAnsi" w:eastAsia="MS Gothic" w:hAnsiTheme="majorHAnsi" w:cstheme="majorHAnsi"/>
          <w:b/>
          <w:bCs/>
          <w:noProof/>
          <w:color w:val="000000"/>
          <w:sz w:val="24"/>
          <w:szCs w:val="28"/>
          <w:lang w:val="es"/>
        </w:rPr>
        <w:t>Contactos [deberán facilitarse al auditor de manera confidencial]:</w:t>
      </w:r>
      <w:bookmarkEnd w:id="30"/>
      <w:bookmarkEnd w:id="31"/>
      <w:bookmarkEnd w:id="32"/>
      <w:bookmarkEnd w:id="33"/>
      <w:bookmarkEnd w:id="34"/>
      <w:bookmarkEnd w:id="35"/>
      <w:bookmarkEnd w:id="36"/>
      <w:bookmarkEnd w:id="37"/>
      <w:bookmarkEnd w:id="38"/>
      <w:r>
        <w:rPr>
          <w:rFonts w:asciiTheme="majorHAnsi" w:eastAsia="MS Gothic" w:hAnsiTheme="majorHAnsi" w:cstheme="majorHAnsi"/>
          <w:b/>
          <w:bCs/>
          <w:noProof/>
          <w:color w:val="000000"/>
          <w:sz w:val="24"/>
          <w:szCs w:val="28"/>
          <w:lang w:val="es"/>
        </w:rPr>
        <w:t xml:space="preserve"> </w:t>
      </w:r>
    </w:p>
    <w:p w14:paraId="157004DD" w14:textId="59E98DF8"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El Receptor Principal deberá facilitar una lista de contactos importantes para llevar a cabo la auditoría, incluidos todos sus detalles de contacto. En ella deben figurar, como mínimo: el Director Ejecutivo y el Director Financiero Ejecutivo del Receptor Principal, el gestor del financiamiento de la subvención, los directores ejecutivos de los subreceptores, los directores de programas y los contactos financieros clave.</w:t>
      </w:r>
    </w:p>
    <w:p w14:paraId="0577488A" w14:textId="77777777" w:rsidR="00382C10" w:rsidRPr="00382C10"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rPr>
      </w:pPr>
      <w:bookmarkStart w:id="39" w:name="_Toc5026412"/>
      <w:bookmarkStart w:id="40" w:name="_Toc19971611"/>
      <w:bookmarkStart w:id="41" w:name="_Toc19971777"/>
      <w:bookmarkStart w:id="42" w:name="_Toc19971943"/>
      <w:bookmarkStart w:id="43" w:name="_Toc19972109"/>
      <w:bookmarkStart w:id="44" w:name="_Toc19972275"/>
      <w:bookmarkStart w:id="45" w:name="_Toc19972441"/>
      <w:bookmarkStart w:id="46" w:name="_Toc20466635"/>
      <w:bookmarkStart w:id="47" w:name="_Toc104292638"/>
      <w:r>
        <w:rPr>
          <w:rFonts w:asciiTheme="majorHAnsi" w:eastAsia="MS Gothic" w:hAnsiTheme="majorHAnsi" w:cstheme="majorHAnsi"/>
          <w:b/>
          <w:bCs/>
          <w:color w:val="000000"/>
          <w:sz w:val="24"/>
          <w:szCs w:val="28"/>
          <w:lang w:val="es"/>
        </w:rPr>
        <w:t>Objetivos de la auditoría</w:t>
      </w:r>
      <w:bookmarkEnd w:id="39"/>
      <w:bookmarkEnd w:id="40"/>
      <w:bookmarkEnd w:id="41"/>
      <w:bookmarkEnd w:id="42"/>
      <w:bookmarkEnd w:id="43"/>
      <w:bookmarkEnd w:id="44"/>
      <w:bookmarkEnd w:id="45"/>
      <w:bookmarkEnd w:id="46"/>
      <w:bookmarkEnd w:id="47"/>
    </w:p>
    <w:p w14:paraId="4C2676BA" w14:textId="66FBACB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 xml:space="preserve">El </w:t>
      </w:r>
      <w:r>
        <w:rPr>
          <w:rFonts w:asciiTheme="majorHAnsi" w:eastAsia="Calibri" w:hAnsiTheme="majorHAnsi" w:cstheme="majorHAnsi"/>
          <w:b/>
          <w:bCs/>
          <w:noProof/>
          <w:lang w:val="es"/>
        </w:rPr>
        <w:t>objetivo de la auditoría financiera</w:t>
      </w:r>
      <w:r>
        <w:rPr>
          <w:rFonts w:asciiTheme="majorHAnsi" w:eastAsia="Calibri" w:hAnsiTheme="majorHAnsi" w:cstheme="majorHAnsi"/>
          <w:noProof/>
          <w:lang w:val="es"/>
        </w:rPr>
        <w:t xml:space="preserve"> </w:t>
      </w:r>
      <w:r>
        <w:rPr>
          <w:rFonts w:asciiTheme="majorHAnsi" w:eastAsia="Calibri" w:hAnsiTheme="majorHAnsi" w:cstheme="majorHAnsi"/>
          <w:lang w:val="es"/>
        </w:rPr>
        <w:t xml:space="preserve">consiste en permitir que el auditor exprese una opinión profesional independiente sobre: </w:t>
      </w:r>
    </w:p>
    <w:p w14:paraId="667BB53B" w14:textId="77777777" w:rsidR="003E6735" w:rsidRPr="005819FD" w:rsidRDefault="003E6735" w:rsidP="003E6735">
      <w:pPr>
        <w:numPr>
          <w:ilvl w:val="0"/>
          <w:numId w:val="31"/>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los estados financieros de una subvención con fines especiales preparados por los receptores principales;</w:t>
      </w:r>
    </w:p>
    <w:p w14:paraId="32E48262" w14:textId="12F2FE76" w:rsidR="003E6735" w:rsidRPr="005819FD" w:rsidRDefault="003E6735" w:rsidP="003E6735">
      <w:pPr>
        <w:numPr>
          <w:ilvl w:val="0"/>
          <w:numId w:val="31"/>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el cumplimiento del Receptor Principal en lo que respecta a, por ejemplo, el uso previsto de los fondos de subvención según lo estipulado en las disposiciones del acuerdo de subvención correspondiente </w:t>
      </w:r>
      <w:bookmarkStart w:id="48" w:name="_Hlk99974864"/>
      <w:r>
        <w:rPr>
          <w:rFonts w:asciiTheme="majorHAnsi" w:eastAsia="Calibri" w:hAnsiTheme="majorHAnsi" w:cstheme="majorHAnsi"/>
          <w:lang w:val="es"/>
        </w:rPr>
        <w:t>y las leyes</w:t>
      </w:r>
      <w:r>
        <w:rPr>
          <w:rStyle w:val="FootnoteReference"/>
          <w:rFonts w:asciiTheme="majorHAnsi" w:eastAsia="Calibri" w:hAnsiTheme="majorHAnsi" w:cstheme="majorHAnsi"/>
          <w:lang w:val="es"/>
        </w:rPr>
        <w:footnoteReference w:id="2"/>
      </w:r>
      <w:r>
        <w:rPr>
          <w:rFonts w:asciiTheme="majorHAnsi" w:eastAsia="Calibri" w:hAnsiTheme="majorHAnsi" w:cstheme="majorHAnsi"/>
          <w:lang w:val="es"/>
        </w:rPr>
        <w:t xml:space="preserve"> y reglamentos locales aplicables</w:t>
      </w:r>
      <w:r w:rsidR="004F722B">
        <w:rPr>
          <w:rFonts w:asciiTheme="majorHAnsi" w:eastAsia="Calibri" w:hAnsiTheme="majorHAnsi" w:cstheme="majorHAnsi"/>
          <w:lang w:val="es"/>
        </w:rPr>
        <w:t>.</w:t>
      </w:r>
      <w:r>
        <w:rPr>
          <w:rStyle w:val="FootnoteReference"/>
          <w:rFonts w:asciiTheme="majorHAnsi" w:eastAsia="Calibri" w:hAnsiTheme="majorHAnsi" w:cstheme="majorHAnsi"/>
          <w:lang w:val="es"/>
        </w:rPr>
        <w:footnoteReference w:id="3"/>
      </w:r>
      <w:bookmarkEnd w:id="48"/>
      <w:r>
        <w:rPr>
          <w:rFonts w:asciiTheme="majorHAnsi" w:eastAsia="Calibri" w:hAnsiTheme="majorHAnsi" w:cstheme="majorHAnsi"/>
          <w:lang w:val="es"/>
        </w:rPr>
        <w:t xml:space="preserve"> </w:t>
      </w:r>
    </w:p>
    <w:p w14:paraId="7C9E6B11" w14:textId="0E976D67" w:rsidR="003E6735" w:rsidRDefault="00382C10" w:rsidP="00382C10">
      <w:pPr>
        <w:numPr>
          <w:ilvl w:val="0"/>
          <w:numId w:val="36"/>
        </w:numPr>
        <w:spacing w:before="0" w:after="120" w:line="240" w:lineRule="auto"/>
        <w:jc w:val="both"/>
        <w:rPr>
          <w:rFonts w:asciiTheme="majorHAnsi" w:eastAsia="Calibri" w:hAnsiTheme="majorHAnsi" w:cstheme="majorHAnsi"/>
        </w:rPr>
      </w:pPr>
      <w:bookmarkStart w:id="49" w:name="_Hlk99963659"/>
      <w:r>
        <w:rPr>
          <w:rFonts w:asciiTheme="majorHAnsi" w:hAnsiTheme="majorHAnsi"/>
          <w:noProof/>
          <w:lang w:val="es"/>
        </w:rPr>
        <w:t xml:space="preserve">El </w:t>
      </w:r>
      <w:r>
        <w:rPr>
          <w:rFonts w:asciiTheme="majorHAnsi" w:hAnsiTheme="majorHAnsi"/>
          <w:b/>
          <w:bCs/>
          <w:noProof/>
          <w:lang w:val="es"/>
        </w:rPr>
        <w:t>objetivo de la auditoría también es</w:t>
      </w:r>
      <w:r>
        <w:rPr>
          <w:rFonts w:asciiTheme="majorHAnsi" w:hAnsiTheme="majorHAnsi"/>
          <w:lang w:val="es"/>
        </w:rPr>
        <w:t xml:space="preserve"> </w:t>
      </w:r>
      <w:r>
        <w:rPr>
          <w:lang w:val="es"/>
        </w:rPr>
        <w:t xml:space="preserve">comentar si el marco de controles internos de las entidades ejecutoras es </w:t>
      </w:r>
      <w:r>
        <w:rPr>
          <w:noProof/>
          <w:lang w:val="es"/>
        </w:rPr>
        <w:t>adecuado</w:t>
      </w:r>
      <w:r>
        <w:rPr>
          <w:lang w:val="es"/>
        </w:rPr>
        <w:t xml:space="preserve"> e informar sobre las debilidades identificadas. Esta revisión también incluirá, cuando corresponda</w:t>
      </w:r>
      <w:r>
        <w:rPr>
          <w:rFonts w:asciiTheme="majorHAnsi" w:hAnsiTheme="majorHAnsi"/>
          <w:lang w:val="es"/>
        </w:rPr>
        <w:t>:</w:t>
      </w:r>
    </w:p>
    <w:p w14:paraId="3380C0FF" w14:textId="77777777" w:rsidR="003E6735" w:rsidRPr="005819FD" w:rsidRDefault="003E6735" w:rsidP="00A30A41">
      <w:pPr>
        <w:numPr>
          <w:ilvl w:val="0"/>
          <w:numId w:val="31"/>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lastRenderedPageBreak/>
        <w:t xml:space="preserve">controles internos en su conjunto, incluidos los controles generales de las tecnologías de información (ITGC); </w:t>
      </w:r>
    </w:p>
    <w:p w14:paraId="6D78BF77" w14:textId="77777777" w:rsidR="003E6735" w:rsidRPr="005819FD" w:rsidRDefault="003E6735" w:rsidP="00A30A41">
      <w:pPr>
        <w:numPr>
          <w:ilvl w:val="0"/>
          <w:numId w:val="31"/>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controles relacionados con la contratación de terceros</w:t>
      </w:r>
      <w:r w:rsidRPr="00611E60">
        <w:rPr>
          <w:rFonts w:asciiTheme="majorHAnsi" w:eastAsia="Calibri" w:hAnsiTheme="majorHAnsi" w:cstheme="majorHAnsi"/>
          <w:vertAlign w:val="superscript"/>
          <w:lang w:val="es"/>
        </w:rPr>
        <w:footnoteReference w:id="4"/>
      </w:r>
      <w:r>
        <w:rPr>
          <w:rFonts w:asciiTheme="majorHAnsi" w:eastAsia="Calibri" w:hAnsiTheme="majorHAnsi" w:cstheme="majorHAnsi"/>
          <w:lang w:val="es"/>
        </w:rPr>
        <w:t xml:space="preserve"> por parte del Receptor Principal o del Fondo Mundial, incluida la revisión de los términos y condiciones de su participación y la observancia de estos.</w:t>
      </w:r>
    </w:p>
    <w:bookmarkEnd w:id="49"/>
    <w:p w14:paraId="6AE4D89F" w14:textId="5DE31484" w:rsidR="00382C10" w:rsidRPr="005819FD" w:rsidRDefault="00382C10" w:rsidP="00A30A41">
      <w:pPr>
        <w:spacing w:before="0" w:after="120" w:line="240" w:lineRule="auto"/>
        <w:ind w:left="360"/>
        <w:jc w:val="both"/>
        <w:rPr>
          <w:rFonts w:asciiTheme="majorHAnsi" w:eastAsia="Calibri" w:hAnsiTheme="majorHAnsi" w:cstheme="majorHAnsi"/>
          <w:lang w:val="es-ES"/>
        </w:rPr>
      </w:pPr>
      <w:r>
        <w:rPr>
          <w:rFonts w:asciiTheme="majorHAnsi" w:eastAsia="Calibri" w:hAnsiTheme="majorHAnsi" w:cstheme="majorHAnsi"/>
          <w:lang w:val="es"/>
        </w:rPr>
        <w:t xml:space="preserve">El auditor </w:t>
      </w:r>
      <w:r>
        <w:rPr>
          <w:rFonts w:asciiTheme="majorHAnsi" w:eastAsia="Calibri" w:hAnsiTheme="majorHAnsi" w:cstheme="majorHAnsi"/>
          <w:b/>
          <w:bCs/>
          <w:lang w:val="es"/>
        </w:rPr>
        <w:t>debe</w:t>
      </w:r>
      <w:r>
        <w:rPr>
          <w:rFonts w:asciiTheme="majorHAnsi" w:eastAsia="Calibri" w:hAnsiTheme="majorHAnsi" w:cstheme="majorHAnsi"/>
          <w:lang w:val="es"/>
        </w:rPr>
        <w:t xml:space="preserve"> revisar el marco de control interno del Receptor Principal y de los subreceptores clave identificado</w:t>
      </w:r>
      <w:r w:rsidR="00475AC1">
        <w:rPr>
          <w:rFonts w:asciiTheme="majorHAnsi" w:eastAsia="Calibri" w:hAnsiTheme="majorHAnsi" w:cstheme="majorHAnsi"/>
          <w:lang w:val="es"/>
        </w:rPr>
        <w:t>s</w:t>
      </w:r>
      <w:r>
        <w:rPr>
          <w:rFonts w:asciiTheme="majorHAnsi" w:eastAsia="Calibri" w:hAnsiTheme="majorHAnsi" w:cstheme="majorHAnsi"/>
          <w:lang w:val="es"/>
        </w:rPr>
        <w:t xml:space="preserve"> por el Equipo de País del Fondo Mundial en colaboración con el Receptor Principal. Esta revisión cubre los controles relacionados con cualquier tercero que gestione un proceso de ejecución de la subvención,</w:t>
      </w:r>
      <w:r>
        <w:rPr>
          <w:rFonts w:asciiTheme="majorHAnsi" w:eastAsia="Calibri" w:hAnsiTheme="majorHAnsi" w:cstheme="majorHAnsi"/>
          <w:vertAlign w:val="superscript"/>
          <w:lang w:val="es"/>
        </w:rPr>
        <w:footnoteReference w:id="5"/>
      </w:r>
      <w:r>
        <w:rPr>
          <w:rFonts w:asciiTheme="majorHAnsi" w:eastAsia="Calibri" w:hAnsiTheme="majorHAnsi" w:cstheme="majorHAnsi"/>
          <w:lang w:val="es"/>
        </w:rPr>
        <w:t xml:space="preserve"> incluida la revisión de los términos y condiciones de su participación y la observancia de estos.</w:t>
      </w:r>
    </w:p>
    <w:p w14:paraId="685749F0" w14:textId="77777777" w:rsidR="00382C10" w:rsidRPr="005819FD"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es-ES"/>
        </w:rPr>
      </w:pPr>
      <w:bookmarkStart w:id="50" w:name="_Toc20466636"/>
      <w:bookmarkStart w:id="51" w:name="_Toc19972442"/>
      <w:bookmarkStart w:id="52" w:name="_Toc19972276"/>
      <w:bookmarkStart w:id="53" w:name="_Toc19972110"/>
      <w:bookmarkStart w:id="54" w:name="_Toc19971944"/>
      <w:bookmarkStart w:id="55" w:name="_Toc19971778"/>
      <w:bookmarkStart w:id="56" w:name="_Toc19971612"/>
      <w:bookmarkStart w:id="57" w:name="_Toc5026413"/>
      <w:bookmarkStart w:id="58" w:name="_Toc104292639"/>
      <w:r>
        <w:rPr>
          <w:rFonts w:asciiTheme="majorHAnsi" w:eastAsia="MS Gothic" w:hAnsiTheme="majorHAnsi" w:cstheme="majorHAnsi"/>
          <w:b/>
          <w:bCs/>
          <w:noProof/>
          <w:color w:val="000000"/>
          <w:sz w:val="24"/>
          <w:szCs w:val="28"/>
          <w:lang w:val="es"/>
        </w:rPr>
        <w:t>Responsabilidad de la preparación de los estados financieros de una subvención con fines especiales (SPGFS).</w:t>
      </w:r>
      <w:bookmarkEnd w:id="50"/>
      <w:bookmarkEnd w:id="51"/>
      <w:bookmarkEnd w:id="52"/>
      <w:bookmarkEnd w:id="53"/>
      <w:bookmarkEnd w:id="54"/>
      <w:bookmarkEnd w:id="55"/>
      <w:bookmarkEnd w:id="56"/>
      <w:bookmarkEnd w:id="57"/>
      <w:bookmarkEnd w:id="58"/>
      <w:r>
        <w:rPr>
          <w:rFonts w:asciiTheme="majorHAnsi" w:eastAsia="MS Gothic" w:hAnsiTheme="majorHAnsi" w:cstheme="majorHAnsi"/>
          <w:b/>
          <w:bCs/>
          <w:color w:val="000000"/>
          <w:sz w:val="24"/>
          <w:szCs w:val="28"/>
          <w:lang w:val="es"/>
        </w:rPr>
        <w:t xml:space="preserve"> </w:t>
      </w:r>
    </w:p>
    <w:p w14:paraId="77BC77E4" w14:textId="4C48E77D"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La responsabilidad de preparar los SPGFS consolidados</w:t>
      </w:r>
      <w:r>
        <w:rPr>
          <w:rFonts w:asciiTheme="majorHAnsi" w:eastAsia="Calibri" w:hAnsiTheme="majorHAnsi" w:cstheme="majorHAnsi"/>
          <w:noProof/>
          <w:lang w:val="es"/>
        </w:rPr>
        <w:t xml:space="preserve"> recae en el Receptor Principal. El Receptor Principal debe garantizar que la información de los subreceptores se presente utilizando la misma metodología que el RP ha empleado para preparar los SPGFS. </w:t>
      </w:r>
    </w:p>
    <w:p w14:paraId="145061C3" w14:textId="77777777" w:rsidR="00382C10" w:rsidRPr="005819FD"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es-ES"/>
        </w:rPr>
      </w:pPr>
      <w:bookmarkStart w:id="59" w:name="_Toc20466637"/>
      <w:bookmarkStart w:id="60" w:name="_Toc19972443"/>
      <w:bookmarkStart w:id="61" w:name="_Toc19972277"/>
      <w:bookmarkStart w:id="62" w:name="_Toc19972111"/>
      <w:bookmarkStart w:id="63" w:name="_Toc19971945"/>
      <w:bookmarkStart w:id="64" w:name="_Toc19971779"/>
      <w:bookmarkStart w:id="65" w:name="_Toc19971613"/>
      <w:bookmarkStart w:id="66" w:name="_Toc5026414"/>
      <w:bookmarkStart w:id="67" w:name="_Toc104292640"/>
      <w:r>
        <w:rPr>
          <w:rFonts w:asciiTheme="majorHAnsi" w:eastAsia="MS Gothic" w:hAnsiTheme="majorHAnsi" w:cstheme="majorHAnsi"/>
          <w:b/>
          <w:bCs/>
          <w:color w:val="000000"/>
          <w:sz w:val="24"/>
          <w:szCs w:val="28"/>
          <w:lang w:val="es"/>
        </w:rPr>
        <w:t>Estados financieros de una subvención con fines especiales (SPGFS).</w:t>
      </w:r>
      <w:bookmarkEnd w:id="59"/>
      <w:bookmarkEnd w:id="60"/>
      <w:bookmarkEnd w:id="61"/>
      <w:bookmarkEnd w:id="62"/>
      <w:bookmarkEnd w:id="63"/>
      <w:bookmarkEnd w:id="64"/>
      <w:bookmarkEnd w:id="65"/>
      <w:bookmarkEnd w:id="66"/>
      <w:bookmarkEnd w:id="67"/>
      <w:r>
        <w:rPr>
          <w:rFonts w:asciiTheme="majorHAnsi" w:eastAsia="MS Gothic" w:hAnsiTheme="majorHAnsi" w:cstheme="majorHAnsi"/>
          <w:b/>
          <w:bCs/>
          <w:color w:val="000000"/>
          <w:sz w:val="24"/>
          <w:szCs w:val="28"/>
          <w:lang w:val="es"/>
        </w:rPr>
        <w:t xml:space="preserve"> </w:t>
      </w:r>
    </w:p>
    <w:p w14:paraId="6AC33A19" w14:textId="23E57B62"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lang w:val="es"/>
        </w:rPr>
        <w:t xml:space="preserve">Los </w:t>
      </w:r>
      <w:r>
        <w:rPr>
          <w:rFonts w:asciiTheme="majorHAnsi" w:eastAsia="Calibri" w:hAnsiTheme="majorHAnsi" w:cstheme="majorHAnsi"/>
          <w:noProof/>
          <w:lang w:val="es"/>
        </w:rPr>
        <w:t>SPGFS</w:t>
      </w:r>
      <w:r>
        <w:rPr>
          <w:rFonts w:asciiTheme="majorHAnsi" w:eastAsia="Calibri" w:hAnsiTheme="majorHAnsi" w:cstheme="majorHAnsi"/>
          <w:lang w:val="es"/>
        </w:rPr>
        <w:t xml:space="preserve">, en la moneda del acuerdo de subvención, </w:t>
      </w:r>
      <w:r>
        <w:rPr>
          <w:rFonts w:asciiTheme="majorHAnsi" w:eastAsia="Calibri" w:hAnsiTheme="majorHAnsi" w:cstheme="majorHAnsi"/>
          <w:noProof/>
          <w:lang w:val="es"/>
        </w:rPr>
        <w:t>deben incluir los siguientes componentes:</w:t>
      </w:r>
    </w:p>
    <w:p w14:paraId="249C71FB" w14:textId="40B8554E" w:rsidR="00382C10" w:rsidRPr="005819FD" w:rsidRDefault="00382C10" w:rsidP="00382C10">
      <w:pPr>
        <w:numPr>
          <w:ilvl w:val="0"/>
          <w:numId w:val="38"/>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Un estado de ingresos y gastos que </w:t>
      </w:r>
      <w:r w:rsidR="000A5BE7">
        <w:rPr>
          <w:rFonts w:asciiTheme="majorHAnsi" w:eastAsia="Calibri" w:hAnsiTheme="majorHAnsi" w:cstheme="majorHAnsi"/>
          <w:lang w:val="es"/>
        </w:rPr>
        <w:t>presente</w:t>
      </w:r>
      <w:r>
        <w:rPr>
          <w:rFonts w:asciiTheme="majorHAnsi" w:eastAsia="Calibri" w:hAnsiTheme="majorHAnsi" w:cstheme="majorHAnsi"/>
          <w:lang w:val="es"/>
        </w:rPr>
        <w:t xml:space="preserve"> los fondos recibidos del Fondo Mundial y cualquier otro ingreso, así como todos los gastos de subvención.</w:t>
      </w:r>
      <w:r>
        <w:rPr>
          <w:rFonts w:asciiTheme="majorHAnsi" w:eastAsia="Calibri" w:hAnsiTheme="majorHAnsi" w:cstheme="majorHAnsi"/>
          <w:vertAlign w:val="superscript"/>
          <w:lang w:val="es"/>
        </w:rPr>
        <w:footnoteReference w:id="6"/>
      </w:r>
      <w:r>
        <w:rPr>
          <w:rFonts w:asciiTheme="majorHAnsi" w:eastAsia="Calibri" w:hAnsiTheme="majorHAnsi" w:cstheme="majorHAnsi"/>
          <w:lang w:val="es"/>
        </w:rPr>
        <w:t xml:space="preserve"> Los gastos de subvención deben notificarse con respecto al presupuesto</w:t>
      </w:r>
      <w:r>
        <w:rPr>
          <w:rStyle w:val="FootnoteReference"/>
          <w:rFonts w:asciiTheme="majorHAnsi" w:eastAsia="Calibri" w:hAnsiTheme="majorHAnsi" w:cstheme="majorHAnsi"/>
          <w:lang w:val="es"/>
        </w:rPr>
        <w:footnoteReference w:id="7"/>
      </w:r>
      <w:r>
        <w:rPr>
          <w:rFonts w:asciiTheme="majorHAnsi" w:eastAsia="Calibri" w:hAnsiTheme="majorHAnsi" w:cstheme="majorHAnsi"/>
          <w:lang w:val="es"/>
        </w:rPr>
        <w:t xml:space="preserve"> en el formato </w:t>
      </w:r>
      <w:r w:rsidR="00FB56CA">
        <w:rPr>
          <w:rFonts w:asciiTheme="majorHAnsi" w:eastAsia="Calibri" w:hAnsiTheme="majorHAnsi" w:cstheme="majorHAnsi"/>
          <w:lang w:val="es"/>
        </w:rPr>
        <w:t>que se adjunta en</w:t>
      </w:r>
      <w:r>
        <w:rPr>
          <w:rFonts w:asciiTheme="majorHAnsi" w:eastAsia="Calibri" w:hAnsiTheme="majorHAnsi" w:cstheme="majorHAnsi"/>
          <w:lang w:val="es"/>
        </w:rPr>
        <w:t xml:space="preserve"> las directrices.</w:t>
      </w:r>
    </w:p>
    <w:p w14:paraId="20CD7F9B" w14:textId="59D345C4" w:rsidR="00382C10" w:rsidRPr="005819FD" w:rsidRDefault="00382C10" w:rsidP="00382C10">
      <w:pPr>
        <w:numPr>
          <w:ilvl w:val="0"/>
          <w:numId w:val="38"/>
        </w:numPr>
        <w:spacing w:before="0" w:after="120" w:line="240" w:lineRule="auto"/>
        <w:jc w:val="both"/>
        <w:rPr>
          <w:rFonts w:asciiTheme="majorHAnsi" w:eastAsia="MS Mincho" w:hAnsiTheme="majorHAnsi" w:cstheme="majorHAnsi"/>
          <w:noProof/>
          <w:szCs w:val="24"/>
          <w:lang w:val="es-ES"/>
        </w:rPr>
      </w:pPr>
      <w:r>
        <w:rPr>
          <w:rFonts w:asciiTheme="majorHAnsi" w:hAnsiTheme="majorHAnsi" w:cstheme="majorHAnsi"/>
          <w:lang w:val="es"/>
        </w:rPr>
        <w:t>Cualquier otra nota</w:t>
      </w:r>
      <w:r>
        <w:rPr>
          <w:rStyle w:val="FootnoteReference"/>
          <w:rFonts w:asciiTheme="majorHAnsi" w:eastAsia="Calibri" w:hAnsiTheme="majorHAnsi" w:cstheme="majorHAnsi"/>
          <w:lang w:val="es"/>
        </w:rPr>
        <w:footnoteReference w:id="8"/>
      </w:r>
      <w:r>
        <w:rPr>
          <w:rFonts w:asciiTheme="majorHAnsi" w:hAnsiTheme="majorHAnsi" w:cstheme="majorHAnsi"/>
          <w:lang w:val="es"/>
        </w:rPr>
        <w:t xml:space="preserve"> pertinente que incluya, como mínimo, el desglose de lo siguiente [</w:t>
      </w:r>
      <w:r>
        <w:rPr>
          <w:rFonts w:asciiTheme="majorHAnsi" w:hAnsiTheme="majorHAnsi" w:cstheme="majorHAnsi"/>
          <w:i/>
          <w:iCs/>
          <w:lang w:val="es"/>
        </w:rPr>
        <w:t>El</w:t>
      </w:r>
      <w:r>
        <w:rPr>
          <w:rFonts w:asciiTheme="majorHAnsi" w:hAnsiTheme="majorHAnsi" w:cstheme="majorHAnsi"/>
          <w:i/>
          <w:iCs/>
          <w:noProof/>
          <w:szCs w:val="24"/>
          <w:lang w:val="es"/>
        </w:rPr>
        <w:t xml:space="preserve"> Equipo de País/Receptor Principal deberán adaptarlo cuando sea necesario]</w:t>
      </w:r>
      <w:r>
        <w:rPr>
          <w:rFonts w:asciiTheme="majorHAnsi" w:hAnsiTheme="majorHAnsi" w:cstheme="majorHAnsi"/>
          <w:i/>
          <w:iCs/>
          <w:noProof/>
          <w:szCs w:val="24"/>
          <w:vertAlign w:val="superscript"/>
          <w:lang w:val="es"/>
        </w:rPr>
        <w:footnoteReference w:id="9"/>
      </w:r>
      <w:r>
        <w:rPr>
          <w:rFonts w:asciiTheme="majorHAnsi" w:hAnsiTheme="majorHAnsi" w:cstheme="majorHAnsi"/>
          <w:noProof/>
          <w:szCs w:val="24"/>
          <w:lang w:val="es"/>
        </w:rPr>
        <w:t>:</w:t>
      </w:r>
    </w:p>
    <w:p w14:paraId="06A5137C" w14:textId="77777777" w:rsidR="00382C10" w:rsidRPr="005819FD" w:rsidRDefault="00382C10" w:rsidP="00382C10">
      <w:pPr>
        <w:numPr>
          <w:ilvl w:val="0"/>
          <w:numId w:val="38"/>
        </w:numPr>
        <w:spacing w:before="0" w:after="120" w:line="240" w:lineRule="auto"/>
        <w:jc w:val="both"/>
        <w:rPr>
          <w:rFonts w:asciiTheme="majorHAnsi" w:eastAsia="MS Mincho" w:hAnsiTheme="majorHAnsi" w:cstheme="majorHAnsi"/>
          <w:noProof/>
          <w:szCs w:val="24"/>
          <w:lang w:val="es-ES"/>
        </w:rPr>
      </w:pPr>
      <w:r>
        <w:rPr>
          <w:rFonts w:asciiTheme="majorHAnsi" w:eastAsia="MS Mincho" w:hAnsiTheme="majorHAnsi" w:cstheme="majorHAnsi"/>
          <w:noProof/>
          <w:szCs w:val="24"/>
          <w:lang w:val="es"/>
        </w:rPr>
        <w:t>Estados complementarios de los anticipos y los activos fijos, incluidos:</w:t>
      </w:r>
      <w:r>
        <w:rPr>
          <w:rFonts w:asciiTheme="majorHAnsi" w:eastAsia="MS Mincho" w:hAnsiTheme="majorHAnsi" w:cstheme="majorHAnsi"/>
          <w:szCs w:val="24"/>
          <w:lang w:val="es"/>
        </w:rPr>
        <w:t xml:space="preserve"> </w:t>
      </w:r>
    </w:p>
    <w:p w14:paraId="05E93C0A" w14:textId="4ED2731D" w:rsidR="00382C10" w:rsidRPr="005819FD" w:rsidRDefault="005C0A4E" w:rsidP="00382C10">
      <w:pPr>
        <w:numPr>
          <w:ilvl w:val="1"/>
          <w:numId w:val="33"/>
        </w:numPr>
        <w:spacing w:before="0" w:after="120" w:line="240" w:lineRule="auto"/>
        <w:jc w:val="both"/>
        <w:rPr>
          <w:rFonts w:asciiTheme="majorHAnsi" w:eastAsia="Calibri" w:hAnsiTheme="majorHAnsi" w:cstheme="majorHAnsi"/>
          <w:lang w:val="es-ES"/>
        </w:rPr>
      </w:pPr>
      <w:bookmarkStart w:id="68" w:name="_Hlk5026220"/>
      <w:r>
        <w:rPr>
          <w:rFonts w:asciiTheme="majorHAnsi" w:eastAsia="Calibri" w:hAnsiTheme="majorHAnsi" w:cstheme="majorHAnsi"/>
          <w:lang w:val="es"/>
        </w:rPr>
        <w:t xml:space="preserve">Un estado que muestre los anticipos </w:t>
      </w:r>
      <w:r w:rsidR="00F30301">
        <w:rPr>
          <w:rFonts w:asciiTheme="majorHAnsi" w:eastAsia="Calibri" w:hAnsiTheme="majorHAnsi" w:cstheme="majorHAnsi"/>
          <w:lang w:val="es"/>
        </w:rPr>
        <w:t>de los subreceptores</w:t>
      </w:r>
      <w:r>
        <w:rPr>
          <w:rFonts w:asciiTheme="majorHAnsi" w:eastAsia="Calibri" w:hAnsiTheme="majorHAnsi" w:cstheme="majorHAnsi"/>
          <w:lang w:val="es"/>
        </w:rPr>
        <w:t xml:space="preserve"> y la conciliación del monto total de los fondos de subvención anticipados por el Receptor Principal a los subreceptores y el saldo de caja total de la subvención con los gastos registrados de</w:t>
      </w:r>
      <w:r w:rsidR="0076079C">
        <w:rPr>
          <w:rFonts w:asciiTheme="majorHAnsi" w:eastAsia="Calibri" w:hAnsiTheme="majorHAnsi" w:cstheme="majorHAnsi"/>
          <w:lang w:val="es"/>
        </w:rPr>
        <w:t xml:space="preserve"> los subreceptores </w:t>
      </w:r>
      <w:r>
        <w:rPr>
          <w:rFonts w:asciiTheme="majorHAnsi" w:eastAsia="Calibri" w:hAnsiTheme="majorHAnsi" w:cstheme="majorHAnsi"/>
          <w:lang w:val="es"/>
        </w:rPr>
        <w:t>y los saldos de caja del Receptor Principal/Subreceptor al final del período de notificación;</w:t>
      </w:r>
    </w:p>
    <w:p w14:paraId="5FB103C1" w14:textId="5145092C" w:rsidR="00382C10" w:rsidRPr="005819FD" w:rsidRDefault="00C60AEE" w:rsidP="00382C10">
      <w:pPr>
        <w:numPr>
          <w:ilvl w:val="1"/>
          <w:numId w:val="33"/>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Un estado resumido de los activos que muestre los activos fijos adquiridos con fondos de subvención. Este estado resumido debe mostrar los activos que provienen de períodos previos (saldos de apertura) así como las adiciones, enajenaciones y cancelaciones del período </w:t>
      </w:r>
      <w:r>
        <w:rPr>
          <w:rFonts w:asciiTheme="majorHAnsi" w:eastAsia="Calibri" w:hAnsiTheme="majorHAnsi" w:cstheme="majorHAnsi"/>
          <w:noProof/>
          <w:lang w:val="es"/>
        </w:rPr>
        <w:t>auditado</w:t>
      </w:r>
      <w:r>
        <w:rPr>
          <w:rFonts w:asciiTheme="majorHAnsi" w:eastAsia="Calibri" w:hAnsiTheme="majorHAnsi" w:cstheme="majorHAnsi"/>
          <w:lang w:val="es"/>
        </w:rPr>
        <w:t xml:space="preserve"> y el saldo de cierre;</w:t>
      </w:r>
      <w:r>
        <w:rPr>
          <w:rFonts w:asciiTheme="majorHAnsi" w:eastAsia="Calibri" w:hAnsiTheme="majorHAnsi" w:cstheme="majorHAnsi"/>
          <w:vertAlign w:val="superscript"/>
          <w:lang w:val="es"/>
        </w:rPr>
        <w:footnoteReference w:id="10"/>
      </w:r>
      <w:r>
        <w:rPr>
          <w:rFonts w:asciiTheme="majorHAnsi" w:eastAsia="Calibri" w:hAnsiTheme="majorHAnsi" w:cstheme="majorHAnsi"/>
          <w:lang w:val="es"/>
        </w:rPr>
        <w:t xml:space="preserve"> y</w:t>
      </w:r>
    </w:p>
    <w:p w14:paraId="24E9DED4" w14:textId="7F9D64A9" w:rsidR="00382C10" w:rsidRPr="005819FD" w:rsidRDefault="00382C10" w:rsidP="00382C10">
      <w:pPr>
        <w:numPr>
          <w:ilvl w:val="1"/>
          <w:numId w:val="33"/>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lastRenderedPageBreak/>
        <w:t>Las notas de los estados complementarios. Estas notas incluyen información que puede ayudar al usuario a comprender mejor la información que figura en el estado de ingresos y gastos y los estados complementarios (supuestos significativos, estimaciones contables y divulgaciones relacionadas, etc.) así como la información necesaria sobre impuestos reembolsables.</w:t>
      </w:r>
      <w:r>
        <w:rPr>
          <w:rFonts w:asciiTheme="majorHAnsi" w:eastAsia="Calibri" w:hAnsiTheme="majorHAnsi" w:cstheme="majorHAnsi"/>
          <w:vertAlign w:val="superscript"/>
          <w:lang w:val="es"/>
        </w:rPr>
        <w:footnoteReference w:id="11"/>
      </w:r>
    </w:p>
    <w:p w14:paraId="3B162B14" w14:textId="3D316D43" w:rsidR="00382C10" w:rsidRPr="00382C10"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rPr>
      </w:pPr>
      <w:bookmarkStart w:id="69" w:name="_Toc5026415"/>
      <w:bookmarkStart w:id="70" w:name="_Toc19971614"/>
      <w:bookmarkStart w:id="71" w:name="_Toc19971780"/>
      <w:bookmarkStart w:id="72" w:name="_Toc19971946"/>
      <w:bookmarkStart w:id="73" w:name="_Toc19972112"/>
      <w:bookmarkStart w:id="74" w:name="_Toc19972278"/>
      <w:bookmarkStart w:id="75" w:name="_Toc19972444"/>
      <w:bookmarkStart w:id="76" w:name="_Toc20466638"/>
      <w:bookmarkStart w:id="77" w:name="_Toc104292641"/>
      <w:bookmarkEnd w:id="68"/>
      <w:r>
        <w:rPr>
          <w:rFonts w:asciiTheme="majorHAnsi" w:eastAsia="MS Gothic" w:hAnsiTheme="majorHAnsi" w:cstheme="majorHAnsi"/>
          <w:b/>
          <w:bCs/>
          <w:color w:val="000000"/>
          <w:sz w:val="24"/>
          <w:szCs w:val="28"/>
          <w:lang w:val="es"/>
        </w:rPr>
        <w:t>Documentos e instalaciones disponibles</w:t>
      </w:r>
      <w:bookmarkEnd w:id="69"/>
      <w:bookmarkEnd w:id="70"/>
      <w:bookmarkEnd w:id="71"/>
      <w:bookmarkEnd w:id="72"/>
      <w:bookmarkEnd w:id="73"/>
      <w:bookmarkEnd w:id="74"/>
      <w:bookmarkEnd w:id="75"/>
      <w:bookmarkEnd w:id="76"/>
      <w:bookmarkEnd w:id="77"/>
    </w:p>
    <w:p w14:paraId="5C7F83B8" w14:textId="2AD08033"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Con respecto a</w:t>
      </w:r>
      <w:r>
        <w:rPr>
          <w:rFonts w:asciiTheme="majorHAnsi" w:eastAsia="Calibri" w:hAnsiTheme="majorHAnsi" w:cstheme="majorHAnsi"/>
          <w:lang w:val="es"/>
        </w:rPr>
        <w:t xml:space="preserve"> cada subvención, el Receptor Principal facilitará </w:t>
      </w:r>
      <w:r>
        <w:rPr>
          <w:rFonts w:asciiTheme="majorHAnsi" w:eastAsia="Calibri" w:hAnsiTheme="majorHAnsi" w:cstheme="majorHAnsi"/>
          <w:noProof/>
          <w:lang w:val="es"/>
        </w:rPr>
        <w:t>al auditor acceso a todos los libros y registros relativos a la subvención a petición del auditor, incluida una lista de todas las ubicaciones clave del Receptor Principal y los</w:t>
      </w:r>
      <w:r>
        <w:rPr>
          <w:rFonts w:asciiTheme="majorHAnsi" w:eastAsia="Calibri" w:hAnsiTheme="majorHAnsi" w:cstheme="majorHAnsi"/>
          <w:lang w:val="es"/>
        </w:rPr>
        <w:t xml:space="preserve"> subreceptores</w:t>
      </w:r>
      <w:r>
        <w:rPr>
          <w:rFonts w:asciiTheme="majorHAnsi" w:eastAsia="Calibri" w:hAnsiTheme="majorHAnsi" w:cstheme="majorHAnsi"/>
          <w:noProof/>
          <w:lang w:val="es"/>
        </w:rPr>
        <w:t xml:space="preserve">, señalando los principales documentos que se encuentran en cada ubicación. </w:t>
      </w:r>
      <w:r w:rsidR="008311F0" w:rsidRPr="008311F0">
        <w:rPr>
          <w:rFonts w:asciiTheme="majorHAnsi" w:eastAsia="Calibri" w:hAnsiTheme="majorHAnsi" w:cstheme="majorHAnsi"/>
          <w:noProof/>
          <w:lang w:val="es"/>
        </w:rPr>
        <w:t>A continuación se ofrece a título ilustrativo una lista de los documentos que puede solicitar el auditor:</w:t>
      </w:r>
    </w:p>
    <w:p w14:paraId="22ED0170"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Los estados financieros del programa de la subvención.</w:t>
      </w:r>
    </w:p>
    <w:p w14:paraId="795CE61F" w14:textId="782B021F"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Los acuerdos de subvención y </w:t>
      </w:r>
      <w:proofErr w:type="spellStart"/>
      <w:r>
        <w:rPr>
          <w:rFonts w:asciiTheme="majorHAnsi" w:eastAsia="Calibri" w:hAnsiTheme="majorHAnsi" w:cstheme="majorHAnsi"/>
          <w:lang w:val="es"/>
        </w:rPr>
        <w:t>sub-subvención</w:t>
      </w:r>
      <w:proofErr w:type="spellEnd"/>
      <w:r>
        <w:rPr>
          <w:rFonts w:asciiTheme="majorHAnsi" w:eastAsia="Calibri" w:hAnsiTheme="majorHAnsi" w:cstheme="majorHAnsi"/>
          <w:lang w:val="es"/>
        </w:rPr>
        <w:t>,</w:t>
      </w:r>
      <w:r>
        <w:rPr>
          <w:rStyle w:val="FootnoteReference"/>
          <w:rFonts w:asciiTheme="majorHAnsi" w:eastAsia="Calibri" w:hAnsiTheme="majorHAnsi" w:cstheme="majorHAnsi"/>
          <w:lang w:val="es"/>
        </w:rPr>
        <w:footnoteReference w:id="12"/>
      </w:r>
      <w:r>
        <w:rPr>
          <w:rFonts w:asciiTheme="majorHAnsi" w:eastAsia="Calibri" w:hAnsiTheme="majorHAnsi" w:cstheme="majorHAnsi"/>
          <w:lang w:val="es"/>
        </w:rPr>
        <w:t xml:space="preserve"> incluidos los presupuestos detallados.</w:t>
      </w:r>
    </w:p>
    <w:p w14:paraId="7BF53B8E"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Los principales inventarios justificativos de los estados financieros que incluyan: registros de ingresos y gastos, activos y pasivos, y efectivo.</w:t>
      </w:r>
    </w:p>
    <w:p w14:paraId="09FAA004"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Los informes provisionales mensuales o trimestrales de las actividades de subvención, según corresponda (tanto programáticas como financieras).</w:t>
      </w:r>
    </w:p>
    <w:p w14:paraId="6ED95C71" w14:textId="70B9797B"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El libro mayor, el libro de caja y otros libros y registros relevantes que conserva</w:t>
      </w:r>
      <w:r w:rsidR="0056720B">
        <w:rPr>
          <w:rFonts w:asciiTheme="majorHAnsi" w:eastAsia="Calibri" w:hAnsiTheme="majorHAnsi" w:cstheme="majorHAnsi"/>
          <w:lang w:val="es"/>
        </w:rPr>
        <w:t>n</w:t>
      </w:r>
      <w:r>
        <w:rPr>
          <w:rFonts w:asciiTheme="majorHAnsi" w:eastAsia="Calibri" w:hAnsiTheme="majorHAnsi" w:cstheme="majorHAnsi"/>
          <w:lang w:val="es"/>
        </w:rPr>
        <w:t xml:space="preserve"> el Receptor Principal o los subreceptores.</w:t>
      </w:r>
    </w:p>
    <w:p w14:paraId="23BC5496"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La documentación original justificativa de todos los gastos registrados (facturas, justificación de todas las adquisiciones de productos sanitarios u otras compras que requieran procesos de licitación, nóminas, comprobantes bancarios, comprobantes del libro diario, etc.) conservados por el Receptor Principal o los subreceptores.</w:t>
      </w:r>
    </w:p>
    <w:p w14:paraId="0B05C9F3" w14:textId="77777777" w:rsidR="00382C10" w:rsidRPr="00382C10" w:rsidRDefault="00382C10" w:rsidP="00382C10">
      <w:pPr>
        <w:numPr>
          <w:ilvl w:val="0"/>
          <w:numId w:val="39"/>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Los extractos bancarios.</w:t>
      </w:r>
    </w:p>
    <w:p w14:paraId="78211F61"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La correspondencia relevante entre el Fondo Mundial y el Receptor Principal, el Receptor Principal y los subreceptores con relación a cuestiones de ejecución de la subvención.</w:t>
      </w:r>
    </w:p>
    <w:p w14:paraId="29BDBD9B" w14:textId="08415ACD"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Los manuales de procedimientos financieros, descripciones de sistemas o cualquier otra documentación que explique los procesos que contribuyen a la elaboración de informes financieros fiables y </w:t>
      </w:r>
      <w:r w:rsidR="002D2EC9">
        <w:rPr>
          <w:rFonts w:asciiTheme="majorHAnsi" w:eastAsia="Calibri" w:hAnsiTheme="majorHAnsi" w:cstheme="majorHAnsi"/>
          <w:lang w:val="es"/>
        </w:rPr>
        <w:t>mantienen</w:t>
      </w:r>
      <w:r>
        <w:rPr>
          <w:rFonts w:asciiTheme="majorHAnsi" w:eastAsia="Calibri" w:hAnsiTheme="majorHAnsi" w:cstheme="majorHAnsi"/>
          <w:lang w:val="es"/>
        </w:rPr>
        <w:t xml:space="preserve"> el control interno, ya sea a nivel del Receptor Principal o de los subreceptores.</w:t>
      </w:r>
    </w:p>
    <w:p w14:paraId="6F1FB667"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Las actas de las reuniones de dirección.</w:t>
      </w:r>
    </w:p>
    <w:p w14:paraId="2EA5781E" w14:textId="77777777" w:rsidR="00382C10" w:rsidRPr="005819FD" w:rsidRDefault="00382C10" w:rsidP="00382C10">
      <w:pPr>
        <w:numPr>
          <w:ilvl w:val="0"/>
          <w:numId w:val="39"/>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Los informes de auditoría internos relacionados con los gastos del Fondo Mundial o cualquier sistema, cuestión de gobernanza u otros aspectos que afecten a las subvenciones del Fondo Mundial.</w:t>
      </w:r>
    </w:p>
    <w:p w14:paraId="1CFDE38D" w14:textId="1AC37743" w:rsidR="00382C10" w:rsidRPr="00382C10"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rPr>
      </w:pPr>
      <w:bookmarkStart w:id="78" w:name="_Toc5026416"/>
      <w:bookmarkStart w:id="79" w:name="_Toc19971615"/>
      <w:bookmarkStart w:id="80" w:name="_Toc19971781"/>
      <w:bookmarkStart w:id="81" w:name="_Toc19971947"/>
      <w:bookmarkStart w:id="82" w:name="_Toc19972113"/>
      <w:bookmarkStart w:id="83" w:name="_Toc19972279"/>
      <w:bookmarkStart w:id="84" w:name="_Toc19972445"/>
      <w:bookmarkStart w:id="85" w:name="_Toc20466639"/>
      <w:bookmarkStart w:id="86" w:name="_Toc104292642"/>
      <w:r>
        <w:rPr>
          <w:rFonts w:asciiTheme="majorHAnsi" w:eastAsia="MS Gothic" w:hAnsiTheme="majorHAnsi" w:cstheme="majorHAnsi"/>
          <w:b/>
          <w:bCs/>
          <w:color w:val="000000"/>
          <w:sz w:val="24"/>
          <w:szCs w:val="28"/>
          <w:lang w:val="es"/>
        </w:rPr>
        <w:t>Alcance del trabajo de auditoría</w:t>
      </w:r>
      <w:bookmarkEnd w:id="78"/>
      <w:bookmarkEnd w:id="79"/>
      <w:bookmarkEnd w:id="80"/>
      <w:bookmarkEnd w:id="81"/>
      <w:bookmarkEnd w:id="82"/>
      <w:bookmarkEnd w:id="83"/>
      <w:bookmarkEnd w:id="84"/>
      <w:bookmarkEnd w:id="85"/>
      <w:bookmarkEnd w:id="86"/>
    </w:p>
    <w:p w14:paraId="530F6B18"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La auditoría debe realizarse con arreglo a las Normas Internacionales de Auditoría (ISA) o las Normas Internacionales de las Instituciones Máximas de Auditoría (ISSAI) e incluirá aquellos controles y pruebas que el auditor considere necesarios según las circunstancias vigentes.</w:t>
      </w:r>
    </w:p>
    <w:p w14:paraId="118C4D84" w14:textId="54F69B52" w:rsidR="00382C10" w:rsidRPr="005819FD" w:rsidRDefault="00382C10" w:rsidP="00382C10">
      <w:pPr>
        <w:numPr>
          <w:ilvl w:val="0"/>
          <w:numId w:val="36"/>
        </w:numPr>
        <w:spacing w:before="0" w:after="120" w:line="240" w:lineRule="auto"/>
        <w:ind w:right="29"/>
        <w:jc w:val="both"/>
        <w:rPr>
          <w:rFonts w:asciiTheme="majorHAnsi" w:eastAsia="Calibri" w:hAnsiTheme="majorHAnsi" w:cstheme="majorHAnsi"/>
          <w:lang w:val="es-ES"/>
        </w:rPr>
      </w:pPr>
      <w:r>
        <w:rPr>
          <w:rFonts w:asciiTheme="majorHAnsi" w:eastAsia="Calibri" w:hAnsiTheme="majorHAnsi" w:cstheme="majorHAnsi"/>
          <w:noProof/>
          <w:lang w:val="es"/>
        </w:rPr>
        <w:t>Como parte del informe integral de auditoría, el auditor debe informar sobre las cuestiones de auditoría clave del año de notificación, así como sobre los siguientes aspectos:</w:t>
      </w:r>
      <w:r>
        <w:rPr>
          <w:rFonts w:asciiTheme="majorHAnsi" w:eastAsia="Calibri" w:hAnsiTheme="majorHAnsi" w:cstheme="majorHAnsi"/>
          <w:lang w:val="es"/>
        </w:rPr>
        <w:t xml:space="preserve"> </w:t>
      </w:r>
    </w:p>
    <w:p w14:paraId="4E86739B" w14:textId="77777777" w:rsidR="00382C10" w:rsidRPr="005819FD" w:rsidRDefault="00382C10" w:rsidP="00382C10">
      <w:pPr>
        <w:numPr>
          <w:ilvl w:val="0"/>
          <w:numId w:val="40"/>
        </w:numPr>
        <w:spacing w:before="0" w:after="120" w:line="240" w:lineRule="auto"/>
        <w:jc w:val="both"/>
        <w:rPr>
          <w:rFonts w:asciiTheme="majorHAnsi" w:eastAsia="Calibri" w:hAnsiTheme="majorHAnsi" w:cstheme="majorHAnsi"/>
          <w:lang w:val="es-ES"/>
        </w:rPr>
      </w:pPr>
      <w:bookmarkStart w:id="87" w:name="_Hlk99629913"/>
      <w:r>
        <w:rPr>
          <w:rFonts w:asciiTheme="majorHAnsi" w:eastAsia="Calibri" w:hAnsiTheme="majorHAnsi" w:cstheme="majorHAnsi"/>
          <w:b/>
          <w:bCs/>
          <w:noProof/>
          <w:lang w:val="es"/>
        </w:rPr>
        <w:lastRenderedPageBreak/>
        <w:t>Cumplimiento de la legislación vigente:</w:t>
      </w:r>
      <w:r>
        <w:rPr>
          <w:rFonts w:asciiTheme="majorHAnsi" w:eastAsia="Calibri" w:hAnsiTheme="majorHAnsi" w:cstheme="majorHAnsi"/>
          <w:noProof/>
          <w:lang w:val="es"/>
        </w:rPr>
        <w:t xml:space="preserve"> verificar que todas las transacciones cumplen en todos los aspectos sustanciales con cualquier legislación vigente.</w:t>
      </w:r>
    </w:p>
    <w:p w14:paraId="170DD30F" w14:textId="77777777" w:rsidR="00382C10" w:rsidRPr="005819FD" w:rsidRDefault="00382C10" w:rsidP="00382C10">
      <w:pPr>
        <w:numPr>
          <w:ilvl w:val="0"/>
          <w:numId w:val="40"/>
        </w:numPr>
        <w:spacing w:before="0" w:after="120" w:line="240" w:lineRule="auto"/>
        <w:jc w:val="both"/>
        <w:rPr>
          <w:rFonts w:asciiTheme="majorHAnsi" w:eastAsia="Calibri" w:hAnsiTheme="majorHAnsi" w:cstheme="majorHAnsi"/>
          <w:lang w:val="es-ES"/>
        </w:rPr>
      </w:pPr>
      <w:r>
        <w:rPr>
          <w:rFonts w:asciiTheme="majorHAnsi" w:eastAsia="MS Mincho" w:hAnsiTheme="majorHAnsi" w:cstheme="majorHAnsi"/>
          <w:b/>
          <w:bCs/>
          <w:i/>
          <w:iCs/>
          <w:szCs w:val="24"/>
          <w:lang w:val="es"/>
        </w:rPr>
        <w:t>Conciliación del libro mayor con los estados financieros de una subvención con fines especiales (SPGFS):</w:t>
      </w:r>
      <w:r>
        <w:rPr>
          <w:rFonts w:asciiTheme="majorHAnsi" w:eastAsia="MS Mincho" w:hAnsiTheme="majorHAnsi" w:cstheme="majorHAnsi"/>
          <w:szCs w:val="24"/>
          <w:lang w:val="es"/>
        </w:rPr>
        <w:t xml:space="preserve"> revisión del libro mayor y el libro de programas con el fin de determinar si los costos en los que se ha incurrido se registraron correctamente, y para comprobar que los costos imputados a la subvención se </w:t>
      </w:r>
      <w:r>
        <w:rPr>
          <w:rFonts w:asciiTheme="majorHAnsi" w:eastAsia="MS Mincho" w:hAnsiTheme="majorHAnsi" w:cstheme="majorHAnsi"/>
          <w:noProof/>
          <w:szCs w:val="24"/>
          <w:lang w:val="es"/>
        </w:rPr>
        <w:t>concilian con</w:t>
      </w:r>
      <w:r>
        <w:rPr>
          <w:rFonts w:asciiTheme="majorHAnsi" w:eastAsia="MS Mincho" w:hAnsiTheme="majorHAnsi" w:cstheme="majorHAnsi"/>
          <w:szCs w:val="24"/>
          <w:lang w:val="es"/>
        </w:rPr>
        <w:t xml:space="preserve"> el libro mayor y el libro de programas. Conciliación de los SPGFS con los registros subyacentes, principalmente el libro de caja.</w:t>
      </w:r>
    </w:p>
    <w:p w14:paraId="6119DB90" w14:textId="64ADD435" w:rsidR="00124591" w:rsidRPr="005819FD" w:rsidRDefault="00382C10" w:rsidP="00A30A41">
      <w:pPr>
        <w:numPr>
          <w:ilvl w:val="0"/>
          <w:numId w:val="40"/>
        </w:numPr>
        <w:spacing w:before="0" w:after="120" w:line="240" w:lineRule="auto"/>
        <w:jc w:val="both"/>
        <w:rPr>
          <w:strike/>
          <w:lang w:val="es-ES"/>
        </w:rPr>
      </w:pPr>
      <w:r>
        <w:rPr>
          <w:rFonts w:asciiTheme="majorHAnsi" w:eastAsia="MS Mincho" w:hAnsiTheme="majorHAnsi" w:cstheme="majorHAnsi"/>
          <w:b/>
          <w:bCs/>
          <w:i/>
          <w:iCs/>
          <w:szCs w:val="24"/>
          <w:lang w:val="es"/>
        </w:rPr>
        <w:t>Gastos de subvención:</w:t>
      </w:r>
      <w:r>
        <w:rPr>
          <w:rFonts w:asciiTheme="majorHAnsi" w:eastAsia="MS Mincho" w:hAnsiTheme="majorHAnsi" w:cstheme="majorHAnsi"/>
          <w:szCs w:val="24"/>
          <w:lang w:val="es"/>
        </w:rPr>
        <w:t xml:space="preserve"> los fondos recibidos por el programa a partir de desembolsos, o bien generados por los fondos del programa,</w:t>
      </w:r>
      <w:r>
        <w:rPr>
          <w:rFonts w:asciiTheme="majorHAnsi" w:eastAsia="MS Mincho" w:hAnsiTheme="majorHAnsi" w:cstheme="majorHAnsi"/>
          <w:noProof/>
          <w:szCs w:val="24"/>
          <w:vertAlign w:val="superscript"/>
          <w:lang w:val="es"/>
        </w:rPr>
        <w:footnoteReference w:id="13"/>
      </w:r>
      <w:r>
        <w:rPr>
          <w:rFonts w:asciiTheme="majorHAnsi" w:eastAsia="MS Mincho" w:hAnsiTheme="majorHAnsi" w:cstheme="majorHAnsi"/>
          <w:noProof/>
          <w:szCs w:val="24"/>
          <w:lang w:val="es"/>
        </w:rPr>
        <w:t xml:space="preserve"> incluidos los bienes y servicios de desembolsos directos a terceras partes, se gastaron de conformidad con: </w:t>
      </w:r>
    </w:p>
    <w:p w14:paraId="46E23E5C" w14:textId="749DB446" w:rsidR="00124591" w:rsidRPr="005819FD" w:rsidRDefault="00124591" w:rsidP="00A30A41">
      <w:pPr>
        <w:pStyle w:val="ListParagraph"/>
        <w:numPr>
          <w:ilvl w:val="0"/>
          <w:numId w:val="58"/>
        </w:numPr>
        <w:spacing w:before="0" w:line="264" w:lineRule="auto"/>
        <w:rPr>
          <w:rFonts w:eastAsia="Calibri" w:cs="Arial"/>
          <w:lang w:val="es-ES"/>
        </w:rPr>
      </w:pPr>
      <w:r>
        <w:rPr>
          <w:rFonts w:eastAsia="Calibri" w:cs="Arial"/>
          <w:lang w:val="es"/>
        </w:rPr>
        <w:t xml:space="preserve">Cumplimiento: el presupuesto y el plan de trabajo aprobados vigentes en el momento en que se produjo el gasto; y en consonancia con las disposiciones del acuerdo de subvención y de las Directrices para la preparación de presupuestos del Fondo Mundial, incluida cualquier condición de la subvención aplicable (según hayan sido modificadas por cualquier carta de ejecución). </w:t>
      </w:r>
    </w:p>
    <w:p w14:paraId="707F2AFB" w14:textId="77777777" w:rsidR="00124591" w:rsidRPr="005819FD" w:rsidRDefault="00124591" w:rsidP="00A30A41">
      <w:pPr>
        <w:pStyle w:val="ListParagraph"/>
        <w:numPr>
          <w:ilvl w:val="0"/>
          <w:numId w:val="58"/>
        </w:numPr>
        <w:spacing w:before="0" w:line="264" w:lineRule="auto"/>
        <w:rPr>
          <w:rFonts w:eastAsia="Calibri" w:cs="Arial"/>
          <w:lang w:val="es-ES"/>
        </w:rPr>
      </w:pPr>
      <w:r>
        <w:rPr>
          <w:rFonts w:eastAsia="Calibri" w:cs="Arial"/>
          <w:lang w:val="es"/>
        </w:rPr>
        <w:t xml:space="preserve">Costos elegibles: solo para los fines para los cuales se proporcionaron los fondos. </w:t>
      </w:r>
    </w:p>
    <w:p w14:paraId="7BF2B180" w14:textId="77777777" w:rsidR="00124591" w:rsidRPr="005819FD" w:rsidRDefault="00124591" w:rsidP="00A30A41">
      <w:pPr>
        <w:pStyle w:val="ListParagraph"/>
        <w:numPr>
          <w:ilvl w:val="0"/>
          <w:numId w:val="58"/>
        </w:numPr>
        <w:spacing w:before="0" w:line="264" w:lineRule="auto"/>
        <w:rPr>
          <w:rFonts w:eastAsia="Calibri" w:cs="Arial"/>
          <w:lang w:val="es-ES"/>
        </w:rPr>
      </w:pPr>
      <w:r>
        <w:rPr>
          <w:rFonts w:eastAsia="Calibri" w:cs="Arial"/>
          <w:lang w:val="es"/>
        </w:rPr>
        <w:t>Optimización de recursos: con la debida atención a la economía y la eficiencia.</w:t>
      </w:r>
    </w:p>
    <w:p w14:paraId="0866A073" w14:textId="1A7F86B0" w:rsidR="00382C10" w:rsidRPr="005819FD" w:rsidRDefault="00124591" w:rsidP="00A30A41">
      <w:pPr>
        <w:pStyle w:val="ListParagraph"/>
        <w:numPr>
          <w:ilvl w:val="0"/>
          <w:numId w:val="58"/>
        </w:numPr>
        <w:spacing w:before="0" w:line="264" w:lineRule="auto"/>
        <w:rPr>
          <w:rFonts w:eastAsia="Calibri" w:cs="Arial"/>
          <w:lang w:val="es-ES"/>
        </w:rPr>
      </w:pPr>
      <w:r>
        <w:rPr>
          <w:rFonts w:eastAsia="Calibri" w:cs="Arial"/>
          <w:lang w:val="es"/>
        </w:rPr>
        <w:t>Costos compartidos: verificación del mecanismo de asignación de los costos compartidos y revisión de la precisión, compleción y aceptabilidad de los costos compartidos</w:t>
      </w:r>
      <w:bookmarkStart w:id="88" w:name="_Hlk5026253"/>
      <w:r>
        <w:rPr>
          <w:rFonts w:eastAsia="Calibri" w:cs="Arial"/>
          <w:lang w:val="es"/>
        </w:rPr>
        <w:t>.</w:t>
      </w:r>
      <w:bookmarkEnd w:id="88"/>
    </w:p>
    <w:p w14:paraId="6425FF84" w14:textId="1FAC5045" w:rsidR="00382C10" w:rsidRPr="005819FD" w:rsidRDefault="00382C10" w:rsidP="00382C10">
      <w:pPr>
        <w:numPr>
          <w:ilvl w:val="0"/>
          <w:numId w:val="40"/>
        </w:numPr>
        <w:spacing w:before="0" w:after="120" w:line="240" w:lineRule="auto"/>
        <w:jc w:val="both"/>
        <w:rPr>
          <w:rFonts w:asciiTheme="majorHAnsi" w:eastAsia="Calibri" w:hAnsiTheme="majorHAnsi" w:cstheme="majorHAnsi"/>
          <w:lang w:val="es-ES"/>
        </w:rPr>
      </w:pPr>
      <w:r>
        <w:rPr>
          <w:rFonts w:asciiTheme="majorHAnsi" w:eastAsia="MS Mincho" w:hAnsiTheme="majorHAnsi" w:cstheme="majorHAnsi"/>
          <w:b/>
          <w:bCs/>
          <w:i/>
          <w:iCs/>
          <w:szCs w:val="24"/>
          <w:lang w:val="es"/>
        </w:rPr>
        <w:t>Costos elegibles:</w:t>
      </w:r>
      <w:r>
        <w:rPr>
          <w:rFonts w:asciiTheme="majorHAnsi" w:eastAsia="MS Mincho" w:hAnsiTheme="majorHAnsi" w:cstheme="majorHAnsi"/>
          <w:szCs w:val="24"/>
          <w:lang w:val="es"/>
        </w:rPr>
        <w:t xml:space="preserve"> revisión de los costos imputados a la subvención identificando y cuantificando cualquier costo no elegible con arreglo a la definición de gastos conformes y no conformes de las Directrices sobre la preparación de presupuestos (secciones 4 y 5), así como </w:t>
      </w:r>
      <w:r>
        <w:rPr>
          <w:rFonts w:asciiTheme="majorHAnsi" w:eastAsia="MS Mincho" w:hAnsiTheme="majorHAnsi" w:cstheme="majorHAnsi"/>
          <w:noProof/>
          <w:szCs w:val="24"/>
          <w:lang w:val="es"/>
        </w:rPr>
        <w:t>acordando</w:t>
      </w:r>
      <w:r>
        <w:rPr>
          <w:rFonts w:asciiTheme="majorHAnsi" w:eastAsia="MS Mincho" w:hAnsiTheme="majorHAnsi" w:cstheme="majorHAnsi"/>
          <w:szCs w:val="24"/>
          <w:lang w:val="es"/>
        </w:rPr>
        <w:t xml:space="preserve"> los gastos de los documentos justificativos por muestreo. Comparar el gasto real con el </w:t>
      </w:r>
      <w:r>
        <w:rPr>
          <w:rFonts w:asciiTheme="majorHAnsi" w:eastAsia="MS Mincho" w:hAnsiTheme="majorHAnsi" w:cstheme="majorHAnsi"/>
          <w:noProof/>
          <w:szCs w:val="24"/>
          <w:lang w:val="es"/>
        </w:rPr>
        <w:t>presupuesto</w:t>
      </w:r>
      <w:r>
        <w:rPr>
          <w:rFonts w:asciiTheme="majorHAnsi" w:eastAsia="MS Mincho" w:hAnsiTheme="majorHAnsi" w:cstheme="majorHAnsi"/>
          <w:szCs w:val="24"/>
          <w:lang w:val="es"/>
        </w:rPr>
        <w:t xml:space="preserve"> y obtener explicaciones para las desviaciones (las desviaciones presupuestarias sustanciales no aprobadas </w:t>
      </w:r>
      <w:r>
        <w:rPr>
          <w:rFonts w:asciiTheme="majorHAnsi" w:eastAsia="MS Mincho" w:hAnsiTheme="majorHAnsi" w:cstheme="majorHAnsi"/>
          <w:noProof/>
          <w:szCs w:val="24"/>
          <w:lang w:val="es"/>
        </w:rPr>
        <w:t>deben incluirse</w:t>
      </w:r>
      <w:r>
        <w:rPr>
          <w:rFonts w:asciiTheme="majorHAnsi" w:eastAsia="MS Mincho" w:hAnsiTheme="majorHAnsi" w:cstheme="majorHAnsi"/>
          <w:szCs w:val="24"/>
          <w:lang w:val="es"/>
        </w:rPr>
        <w:t xml:space="preserve"> en el inventario de gastos no elegibles).</w:t>
      </w:r>
    </w:p>
    <w:p w14:paraId="1CBDE597" w14:textId="7AD4992D" w:rsidR="007555F1" w:rsidRPr="005819FD" w:rsidRDefault="00382C10" w:rsidP="007555F1">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noProof/>
          <w:szCs w:val="24"/>
          <w:lang w:val="es"/>
        </w:rPr>
        <w:t>Sistema</w:t>
      </w:r>
      <w:r>
        <w:rPr>
          <w:rFonts w:asciiTheme="majorHAnsi" w:eastAsia="MS Mincho" w:hAnsiTheme="majorHAnsi" w:cstheme="majorHAnsi"/>
          <w:b/>
          <w:bCs/>
          <w:szCs w:val="24"/>
          <w:lang w:val="es"/>
        </w:rPr>
        <w:t xml:space="preserve"> de controles internos:</w:t>
      </w:r>
      <w:r>
        <w:rPr>
          <w:rFonts w:asciiTheme="majorHAnsi" w:eastAsia="MS Mincho" w:hAnsiTheme="majorHAnsi" w:cstheme="majorHAnsi"/>
          <w:szCs w:val="24"/>
          <w:lang w:val="es"/>
        </w:rPr>
        <w:t xml:space="preserve"> una evaluación integral del </w:t>
      </w:r>
      <w:r>
        <w:rPr>
          <w:rFonts w:asciiTheme="majorHAnsi" w:eastAsia="MS Mincho" w:hAnsiTheme="majorHAnsi" w:cstheme="majorHAnsi"/>
          <w:b/>
          <w:bCs/>
          <w:szCs w:val="24"/>
          <w:lang w:val="es"/>
        </w:rPr>
        <w:t>RP</w:t>
      </w:r>
      <w:r>
        <w:rPr>
          <w:rFonts w:asciiTheme="majorHAnsi" w:eastAsia="MS Mincho" w:hAnsiTheme="majorHAnsi" w:cstheme="majorHAnsi"/>
          <w:szCs w:val="24"/>
          <w:lang w:val="es"/>
        </w:rPr>
        <w:t xml:space="preserve"> y de </w:t>
      </w:r>
      <w:r>
        <w:rPr>
          <w:rFonts w:asciiTheme="majorHAnsi" w:eastAsia="MS Mincho" w:hAnsiTheme="majorHAnsi" w:cstheme="majorHAnsi"/>
          <w:b/>
          <w:bCs/>
          <w:szCs w:val="24"/>
          <w:lang w:val="es"/>
        </w:rPr>
        <w:t>los subreceptores clave</w:t>
      </w:r>
      <w:r>
        <w:rPr>
          <w:rFonts w:asciiTheme="majorHAnsi" w:eastAsia="MS Mincho" w:hAnsiTheme="majorHAnsi" w:cstheme="majorHAnsi"/>
          <w:szCs w:val="24"/>
          <w:lang w:val="es"/>
        </w:rPr>
        <w:t xml:space="preserve"> identificados por el Equipo de País del Fondo Mundial en consulta con el Receptor Principal </w:t>
      </w:r>
      <w:r w:rsidR="00AF6E7A">
        <w:rPr>
          <w:rFonts w:asciiTheme="majorHAnsi" w:eastAsia="MS Mincho" w:hAnsiTheme="majorHAnsi" w:cstheme="majorHAnsi"/>
          <w:szCs w:val="24"/>
          <w:lang w:val="es"/>
        </w:rPr>
        <w:t>sobre el</w:t>
      </w:r>
      <w:r>
        <w:rPr>
          <w:rFonts w:asciiTheme="majorHAnsi" w:eastAsia="MS Mincho" w:hAnsiTheme="majorHAnsi" w:cstheme="majorHAnsi"/>
          <w:szCs w:val="24"/>
          <w:lang w:val="es"/>
        </w:rPr>
        <w:t xml:space="preserve"> diseño y la efectividad operativa durante el período bajo revisión de:</w:t>
      </w:r>
    </w:p>
    <w:p w14:paraId="3D2ADC30" w14:textId="30902BDA" w:rsidR="0076015E" w:rsidRPr="005819FD" w:rsidRDefault="007555F1" w:rsidP="005B6EE2">
      <w:pPr>
        <w:pStyle w:val="ListParagraph"/>
        <w:numPr>
          <w:ilvl w:val="0"/>
          <w:numId w:val="58"/>
        </w:numPr>
        <w:spacing w:before="0" w:line="264" w:lineRule="auto"/>
        <w:rPr>
          <w:rFonts w:eastAsia="Calibri" w:cs="Arial"/>
          <w:lang w:val="es-ES"/>
        </w:rPr>
      </w:pPr>
      <w:r>
        <w:rPr>
          <w:rFonts w:eastAsia="Calibri" w:cs="Arial"/>
          <w:lang w:val="es"/>
        </w:rPr>
        <w:t>Contabilidad y sistema de control interno general para supervisar los gastos en todos los niveles del programa y otras transacciones financieras.</w:t>
      </w:r>
    </w:p>
    <w:p w14:paraId="7659CE21" w14:textId="25EF1A4C" w:rsidR="00BC72B6" w:rsidRPr="005819FD" w:rsidRDefault="007555F1" w:rsidP="005B6EE2">
      <w:pPr>
        <w:pStyle w:val="ListParagraph"/>
        <w:numPr>
          <w:ilvl w:val="0"/>
          <w:numId w:val="58"/>
        </w:numPr>
        <w:spacing w:before="0" w:line="264" w:lineRule="auto"/>
        <w:rPr>
          <w:rFonts w:eastAsia="Calibri" w:cs="Arial"/>
          <w:lang w:val="es-ES"/>
        </w:rPr>
      </w:pPr>
      <w:r>
        <w:rPr>
          <w:rFonts w:eastAsia="Calibri" w:cs="Arial"/>
          <w:lang w:val="es"/>
        </w:rPr>
        <w:t xml:space="preserve">Adecuación y efectividad de los controles relacionados con las transacciones de efectivo. </w:t>
      </w:r>
    </w:p>
    <w:p w14:paraId="4419997C" w14:textId="089EFA62" w:rsidR="006B5DB9" w:rsidRPr="005819FD" w:rsidRDefault="007555F1" w:rsidP="006B5DB9">
      <w:pPr>
        <w:pStyle w:val="ListParagraph"/>
        <w:numPr>
          <w:ilvl w:val="0"/>
          <w:numId w:val="58"/>
        </w:numPr>
        <w:spacing w:before="0" w:after="120" w:line="240" w:lineRule="auto"/>
        <w:jc w:val="both"/>
        <w:rPr>
          <w:rFonts w:asciiTheme="majorHAnsi" w:eastAsia="MS Mincho" w:hAnsiTheme="majorHAnsi" w:cstheme="majorHAnsi"/>
          <w:szCs w:val="24"/>
          <w:lang w:val="es-ES"/>
        </w:rPr>
      </w:pPr>
      <w:r>
        <w:rPr>
          <w:rFonts w:eastAsia="Calibri" w:cs="Arial"/>
          <w:lang w:val="es"/>
        </w:rPr>
        <w:t xml:space="preserve">Gestión de riesgos sustanciales para </w:t>
      </w:r>
      <w:r w:rsidR="0047667D">
        <w:rPr>
          <w:rFonts w:eastAsia="Calibri" w:cs="Arial"/>
          <w:lang w:val="es"/>
        </w:rPr>
        <w:t>el logro</w:t>
      </w:r>
      <w:r>
        <w:rPr>
          <w:rFonts w:eastAsia="Calibri" w:cs="Arial"/>
          <w:lang w:val="es"/>
        </w:rPr>
        <w:t xml:space="preserve"> de los objetivos del programa.</w:t>
      </w:r>
    </w:p>
    <w:p w14:paraId="27631176" w14:textId="1EA1B5B5" w:rsidR="006B5DB9" w:rsidRPr="005819FD" w:rsidRDefault="007555F1" w:rsidP="006B5DB9">
      <w:pPr>
        <w:pStyle w:val="ListParagraph"/>
        <w:numPr>
          <w:ilvl w:val="0"/>
          <w:numId w:val="58"/>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szCs w:val="24"/>
          <w:lang w:val="es"/>
        </w:rPr>
        <w:t xml:space="preserve">También debe prestarse especial atención a los controles del riesgo de fraude a nivel del Receptor Principal y los subreceptores [ISA 240]. </w:t>
      </w:r>
    </w:p>
    <w:p w14:paraId="56039113" w14:textId="252213EC" w:rsidR="006A4DDA" w:rsidRPr="005819FD" w:rsidRDefault="007555F1" w:rsidP="006B5DB9">
      <w:pPr>
        <w:pStyle w:val="ListParagraph"/>
        <w:numPr>
          <w:ilvl w:val="0"/>
          <w:numId w:val="58"/>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szCs w:val="24"/>
          <w:lang w:val="es"/>
        </w:rPr>
        <w:t xml:space="preserve">Controles de los procesos encomendados a </w:t>
      </w:r>
      <w:r>
        <w:rPr>
          <w:rFonts w:asciiTheme="majorHAnsi" w:eastAsia="MS Mincho" w:hAnsiTheme="majorHAnsi" w:cstheme="majorHAnsi"/>
          <w:b/>
          <w:bCs/>
          <w:szCs w:val="24"/>
          <w:lang w:val="es"/>
        </w:rPr>
        <w:t>terceros</w:t>
      </w:r>
      <w:r>
        <w:rPr>
          <w:rFonts w:asciiTheme="majorHAnsi" w:eastAsia="MS Mincho" w:hAnsiTheme="majorHAnsi" w:cstheme="majorHAnsi"/>
          <w:b/>
          <w:bCs/>
          <w:szCs w:val="24"/>
          <w:vertAlign w:val="superscript"/>
          <w:lang w:val="es"/>
        </w:rPr>
        <w:footnoteReference w:id="14"/>
      </w:r>
      <w:r>
        <w:rPr>
          <w:rFonts w:asciiTheme="majorHAnsi" w:eastAsia="MS Mincho" w:hAnsiTheme="majorHAnsi" w:cstheme="majorHAnsi"/>
          <w:szCs w:val="24"/>
          <w:lang w:val="es"/>
        </w:rPr>
        <w:t xml:space="preserve"> [si es el caso].</w:t>
      </w:r>
    </w:p>
    <w:p w14:paraId="665F19CE" w14:textId="6C129D97" w:rsidR="006A4DDA" w:rsidRPr="005819FD" w:rsidRDefault="006A4DDA" w:rsidP="00A30A41">
      <w:pPr>
        <w:spacing w:before="0" w:after="120" w:line="240" w:lineRule="auto"/>
        <w:ind w:left="1004"/>
        <w:jc w:val="both"/>
        <w:rPr>
          <w:rFonts w:asciiTheme="majorHAnsi" w:eastAsia="Calibri" w:hAnsiTheme="majorHAnsi" w:cstheme="majorHAnsi"/>
          <w:lang w:val="es-ES"/>
        </w:rPr>
      </w:pPr>
      <w:r>
        <w:rPr>
          <w:rFonts w:asciiTheme="majorHAnsi" w:eastAsia="Calibri" w:hAnsiTheme="majorHAnsi" w:cstheme="majorHAnsi"/>
          <w:lang w:val="es"/>
        </w:rPr>
        <w:t>Para los países enfocados, el auditor debe limitar su evaluación a los controles financieros del Receptor Principal y los subreceptores.</w:t>
      </w:r>
    </w:p>
    <w:p w14:paraId="41B5A6DF" w14:textId="77777777" w:rsidR="00382C10" w:rsidRPr="005819FD" w:rsidRDefault="00382C10" w:rsidP="00382C10">
      <w:pPr>
        <w:numPr>
          <w:ilvl w:val="0"/>
          <w:numId w:val="40"/>
        </w:numPr>
        <w:spacing w:before="0" w:after="120" w:line="240" w:lineRule="auto"/>
        <w:jc w:val="both"/>
        <w:rPr>
          <w:rFonts w:asciiTheme="majorHAnsi" w:eastAsia="MS Mincho" w:hAnsiTheme="majorHAnsi" w:cstheme="majorHAnsi"/>
          <w:noProof/>
          <w:szCs w:val="24"/>
          <w:lang w:val="es-ES"/>
        </w:rPr>
      </w:pPr>
      <w:r>
        <w:rPr>
          <w:rFonts w:asciiTheme="majorHAnsi" w:eastAsia="MS Mincho" w:hAnsiTheme="majorHAnsi" w:cstheme="majorHAnsi"/>
          <w:b/>
          <w:bCs/>
          <w:noProof/>
          <w:szCs w:val="24"/>
          <w:lang w:val="es"/>
        </w:rPr>
        <w:t xml:space="preserve">Seguimiento del estado de las conclusiones de informes de auditoría previos: </w:t>
      </w:r>
      <w:r>
        <w:rPr>
          <w:rFonts w:asciiTheme="majorHAnsi" w:eastAsia="MS Mincho" w:hAnsiTheme="majorHAnsi" w:cstheme="majorHAnsi"/>
          <w:noProof/>
          <w:szCs w:val="24"/>
          <w:lang w:val="es"/>
        </w:rPr>
        <w:t xml:space="preserve">el auditor debe realizar un seguimiento de las medidas de gestión previstas con el fin de </w:t>
      </w:r>
      <w:r>
        <w:rPr>
          <w:rFonts w:asciiTheme="majorHAnsi" w:eastAsia="MS Mincho" w:hAnsiTheme="majorHAnsi" w:cstheme="majorHAnsi"/>
          <w:noProof/>
          <w:szCs w:val="24"/>
          <w:lang w:val="es"/>
        </w:rPr>
        <w:lastRenderedPageBreak/>
        <w:t>abordar las conclusiones de auditorías previas, incluidas auditorías externas, las auditorías internas pertinentes y auditorías encargadas por la Oficina del Inspector General (OIG) del Fondo Mundial.</w:t>
      </w:r>
    </w:p>
    <w:p w14:paraId="70CF8549" w14:textId="50BEBE40"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noProof/>
          <w:szCs w:val="24"/>
          <w:lang w:val="es"/>
        </w:rPr>
        <w:t>Cuentas bancarias designadas</w:t>
      </w:r>
      <w:r>
        <w:rPr>
          <w:rFonts w:asciiTheme="majorHAnsi" w:eastAsia="MS Mincho" w:hAnsiTheme="majorHAnsi" w:cstheme="majorHAnsi"/>
          <w:noProof/>
          <w:szCs w:val="24"/>
          <w:lang w:val="es"/>
        </w:rPr>
        <w:t xml:space="preserve">: cuando el </w:t>
      </w:r>
      <w:r>
        <w:rPr>
          <w:rFonts w:asciiTheme="majorHAnsi" w:eastAsia="MS Mincho" w:hAnsiTheme="majorHAnsi" w:cstheme="majorHAnsi"/>
          <w:szCs w:val="24"/>
          <w:lang w:val="es"/>
        </w:rPr>
        <w:t>Receptor Principal y los subreceptores</w:t>
      </w:r>
      <w:r>
        <w:rPr>
          <w:rFonts w:asciiTheme="majorHAnsi" w:eastAsia="MS Mincho" w:hAnsiTheme="majorHAnsi" w:cstheme="majorHAnsi"/>
          <w:noProof/>
          <w:szCs w:val="24"/>
          <w:lang w:val="es"/>
        </w:rPr>
        <w:t xml:space="preserve"> han utilizado cuentas designadas (incluidas aquellas empleadas en un mecanismo de ejecución de programas de financiamiento común aprobado), estas se han mantenido y utilizado con arreglo a las disposiciones del acuerdo de subvención y a las normas y procedimientos del Fondo Mundial. Los auditores deben realizar confirmaciones bancarias directas para todas las cuentas bancarias designadas que posean los receptores principales. Además, deben revisar el proceso y los controles que los receptores principales aplican en las cuentas bancarias designadas que mantienen las entidades ejecutoras secundarias.</w:t>
      </w:r>
    </w:p>
    <w:p w14:paraId="64393E46" w14:textId="21348A84"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i/>
          <w:iCs/>
          <w:szCs w:val="24"/>
          <w:lang w:val="es"/>
        </w:rPr>
        <w:t>Mecanismos de flujo de fondos:</w:t>
      </w:r>
      <w:r>
        <w:rPr>
          <w:rFonts w:asciiTheme="majorHAnsi" w:eastAsia="MS Mincho" w:hAnsiTheme="majorHAnsi" w:cstheme="majorHAnsi"/>
          <w:szCs w:val="24"/>
          <w:lang w:val="es"/>
        </w:rPr>
        <w:t xml:space="preserve"> revisión de los procedimientos empleados para controlar los fondos, incluido su </w:t>
      </w:r>
      <w:r>
        <w:rPr>
          <w:rFonts w:asciiTheme="majorHAnsi" w:eastAsia="MS Mincho" w:hAnsiTheme="majorHAnsi" w:cstheme="majorHAnsi"/>
          <w:noProof/>
          <w:szCs w:val="24"/>
          <w:lang w:val="es"/>
        </w:rPr>
        <w:t>canalización</w:t>
      </w:r>
      <w:r>
        <w:rPr>
          <w:rFonts w:asciiTheme="majorHAnsi" w:eastAsia="MS Mincho" w:hAnsiTheme="majorHAnsi" w:cstheme="majorHAnsi"/>
          <w:szCs w:val="24"/>
          <w:lang w:val="es"/>
        </w:rPr>
        <w:t xml:space="preserve"> hacia instituciones financieras contratadas y </w:t>
      </w:r>
      <w:r>
        <w:rPr>
          <w:rFonts w:asciiTheme="majorHAnsi" w:eastAsia="MS Mincho" w:hAnsiTheme="majorHAnsi" w:cstheme="majorHAnsi"/>
          <w:noProof/>
          <w:szCs w:val="24"/>
          <w:lang w:val="es"/>
        </w:rPr>
        <w:t>otras entidades ejecutoras. Revisión de las cuentas bancarias y de sus controles. Realizar una confirmación positiva de los saldos, si fuese necesario.</w:t>
      </w:r>
    </w:p>
    <w:p w14:paraId="0316EDE8" w14:textId="77777777"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noProof/>
          <w:szCs w:val="24"/>
          <w:lang w:val="es"/>
        </w:rPr>
        <w:t>Protección de los activos</w:t>
      </w:r>
      <w:r>
        <w:rPr>
          <w:rFonts w:asciiTheme="majorHAnsi" w:eastAsia="MS Mincho" w:hAnsiTheme="majorHAnsi" w:cstheme="majorHAnsi"/>
          <w:noProof/>
          <w:szCs w:val="24"/>
          <w:lang w:val="es"/>
        </w:rPr>
        <w:t xml:space="preserve">: verificar que el </w:t>
      </w:r>
      <w:r>
        <w:rPr>
          <w:rFonts w:asciiTheme="majorHAnsi" w:eastAsia="MS Mincho" w:hAnsiTheme="majorHAnsi" w:cstheme="majorHAnsi"/>
          <w:szCs w:val="24"/>
          <w:lang w:val="es"/>
        </w:rPr>
        <w:t xml:space="preserve">Receptor Principal </w:t>
      </w:r>
      <w:r>
        <w:rPr>
          <w:rFonts w:asciiTheme="majorHAnsi" w:eastAsia="MS Mincho" w:hAnsiTheme="majorHAnsi" w:cstheme="majorHAnsi"/>
          <w:noProof/>
          <w:szCs w:val="24"/>
          <w:lang w:val="es"/>
        </w:rPr>
        <w:t>ha establecido mecanismos para supervisar y proteger los activos adquiridos con los fondos de la subvención y que se están utilizando para los fines previstos. Verificar que existe un registro de los activos fijos del programa y que se mantiene con arreglo al acuerdo de subvención; que se han fijado derechos de propiedad u otros derechos de los beneficiarios de conformidad con los términos y condiciones generales de la subvención.</w:t>
      </w:r>
      <w:r>
        <w:rPr>
          <w:rFonts w:asciiTheme="majorHAnsi" w:eastAsia="MS Mincho" w:hAnsiTheme="majorHAnsi" w:cstheme="majorHAnsi"/>
          <w:b/>
          <w:bCs/>
          <w:szCs w:val="24"/>
          <w:lang w:val="es"/>
        </w:rPr>
        <w:t xml:space="preserve"> </w:t>
      </w:r>
    </w:p>
    <w:p w14:paraId="21B19508" w14:textId="08F17211"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noProof/>
          <w:szCs w:val="24"/>
          <w:lang w:val="es"/>
        </w:rPr>
        <w:t>Desembolsos a los subreceptores</w:t>
      </w:r>
      <w:r>
        <w:rPr>
          <w:rFonts w:asciiTheme="majorHAnsi" w:eastAsia="MS Mincho" w:hAnsiTheme="majorHAnsi" w:cstheme="majorHAnsi"/>
          <w:noProof/>
          <w:szCs w:val="24"/>
          <w:lang w:val="es"/>
        </w:rPr>
        <w:t xml:space="preserve">: verificar que los desembolsos realizados por el </w:t>
      </w:r>
      <w:r>
        <w:rPr>
          <w:rFonts w:asciiTheme="majorHAnsi" w:eastAsia="MS Mincho" w:hAnsiTheme="majorHAnsi" w:cstheme="majorHAnsi"/>
          <w:szCs w:val="24"/>
          <w:lang w:val="es"/>
        </w:rPr>
        <w:t>Receptor Principal</w:t>
      </w:r>
      <w:r>
        <w:rPr>
          <w:rFonts w:asciiTheme="majorHAnsi" w:eastAsia="MS Mincho" w:hAnsiTheme="majorHAnsi" w:cstheme="majorHAnsi"/>
          <w:noProof/>
          <w:szCs w:val="24"/>
          <w:lang w:val="es"/>
        </w:rPr>
        <w:t xml:space="preserve"> a los </w:t>
      </w:r>
      <w:r>
        <w:rPr>
          <w:rFonts w:asciiTheme="majorHAnsi" w:eastAsia="MS Mincho" w:hAnsiTheme="majorHAnsi" w:cstheme="majorHAnsi"/>
          <w:szCs w:val="24"/>
          <w:lang w:val="es"/>
        </w:rPr>
        <w:t>subreceptores</w:t>
      </w:r>
      <w:r>
        <w:rPr>
          <w:rFonts w:asciiTheme="majorHAnsi" w:eastAsia="MS Mincho" w:hAnsiTheme="majorHAnsi" w:cstheme="majorHAnsi"/>
          <w:noProof/>
          <w:szCs w:val="24"/>
          <w:lang w:val="es"/>
        </w:rPr>
        <w:t xml:space="preserve"> se ajustan a los acuerdos del </w:t>
      </w:r>
      <w:r>
        <w:rPr>
          <w:rFonts w:asciiTheme="majorHAnsi" w:eastAsia="MS Mincho" w:hAnsiTheme="majorHAnsi" w:cstheme="majorHAnsi"/>
          <w:szCs w:val="24"/>
          <w:lang w:val="es"/>
        </w:rPr>
        <w:t>subreceptor</w:t>
      </w:r>
      <w:r>
        <w:rPr>
          <w:rFonts w:asciiTheme="majorHAnsi" w:eastAsia="MS Mincho" w:hAnsiTheme="majorHAnsi" w:cstheme="majorHAnsi"/>
          <w:noProof/>
          <w:szCs w:val="24"/>
          <w:lang w:val="es"/>
        </w:rPr>
        <w:t xml:space="preserve"> y de la sub-subvención, así como al plan de trabajo y el presupuesto aprobados. Verificar que el </w:t>
      </w:r>
      <w:r>
        <w:rPr>
          <w:rFonts w:asciiTheme="majorHAnsi" w:eastAsia="MS Mincho" w:hAnsiTheme="majorHAnsi" w:cstheme="majorHAnsi"/>
          <w:szCs w:val="24"/>
          <w:lang w:val="es"/>
        </w:rPr>
        <w:t>Receptor Principal</w:t>
      </w:r>
      <w:r>
        <w:rPr>
          <w:rFonts w:asciiTheme="majorHAnsi" w:eastAsia="MS Mincho" w:hAnsiTheme="majorHAnsi" w:cstheme="majorHAnsi"/>
          <w:noProof/>
          <w:szCs w:val="24"/>
          <w:lang w:val="es"/>
        </w:rPr>
        <w:t xml:space="preserve"> sigue el proceso adecuado para la validación de los informes de gastos presentados por los </w:t>
      </w:r>
      <w:r>
        <w:rPr>
          <w:rFonts w:asciiTheme="majorHAnsi" w:eastAsia="MS Mincho" w:hAnsiTheme="majorHAnsi" w:cstheme="majorHAnsi"/>
          <w:szCs w:val="24"/>
          <w:lang w:val="es"/>
        </w:rPr>
        <w:t>subreceptores</w:t>
      </w:r>
      <w:r>
        <w:rPr>
          <w:rFonts w:asciiTheme="majorHAnsi" w:eastAsia="MS Mincho" w:hAnsiTheme="majorHAnsi" w:cstheme="majorHAnsi"/>
          <w:noProof/>
          <w:szCs w:val="24"/>
          <w:lang w:val="es"/>
        </w:rPr>
        <w:t>.</w:t>
      </w:r>
    </w:p>
    <w:p w14:paraId="116B322F" w14:textId="6F7A3475" w:rsidR="009171CA" w:rsidRPr="005819FD" w:rsidRDefault="00382C10" w:rsidP="002E5CD0">
      <w:pPr>
        <w:numPr>
          <w:ilvl w:val="0"/>
          <w:numId w:val="40"/>
        </w:numPr>
        <w:spacing w:before="0" w:after="120" w:line="240" w:lineRule="auto"/>
        <w:jc w:val="both"/>
        <w:rPr>
          <w:rFonts w:asciiTheme="majorHAnsi" w:eastAsia="MS Mincho" w:hAnsiTheme="majorHAnsi" w:cstheme="majorHAnsi"/>
          <w:noProof/>
          <w:szCs w:val="24"/>
          <w:lang w:val="es-ES"/>
        </w:rPr>
      </w:pPr>
      <w:r>
        <w:rPr>
          <w:rFonts w:asciiTheme="majorHAnsi" w:eastAsia="MS Mincho" w:hAnsiTheme="majorHAnsi" w:cstheme="majorHAnsi"/>
          <w:b/>
          <w:bCs/>
          <w:szCs w:val="24"/>
          <w:lang w:val="es"/>
        </w:rPr>
        <w:t>Mantenimiento de datos y documentación justificativa</w:t>
      </w:r>
      <w:r>
        <w:rPr>
          <w:rFonts w:asciiTheme="majorHAnsi" w:eastAsia="MS Mincho" w:hAnsiTheme="majorHAnsi" w:cstheme="majorHAnsi"/>
          <w:szCs w:val="24"/>
          <w:lang w:val="es"/>
        </w:rPr>
        <w:t xml:space="preserve">: se han mantenido los </w:t>
      </w:r>
      <w:r>
        <w:rPr>
          <w:rFonts w:asciiTheme="majorHAnsi" w:eastAsia="MS Mincho" w:hAnsiTheme="majorHAnsi" w:cstheme="majorHAnsi"/>
          <w:noProof/>
          <w:szCs w:val="24"/>
          <w:lang w:val="es"/>
        </w:rPr>
        <w:t>documentos justificativos, registros y cuentas que corresponda con arreglo a las disposiciones del acuerdo de subvención.</w:t>
      </w:r>
      <w:r w:rsidR="00176F35">
        <w:rPr>
          <w:rFonts w:asciiTheme="majorHAnsi" w:eastAsia="MS Mincho" w:hAnsiTheme="majorHAnsi" w:cstheme="majorHAnsi"/>
          <w:noProof/>
          <w:szCs w:val="24"/>
          <w:lang w:val="es"/>
        </w:rPr>
        <w:t xml:space="preserve"> </w:t>
      </w:r>
      <w:r>
        <w:rPr>
          <w:rFonts w:asciiTheme="majorHAnsi" w:eastAsia="MS Mincho" w:hAnsiTheme="majorHAnsi" w:cstheme="majorHAnsi"/>
          <w:noProof/>
          <w:szCs w:val="24"/>
          <w:lang w:val="es"/>
        </w:rPr>
        <w:t>Existen procedimientos para asegurar y gestionar los datos electrónicos (sistemas y procedimientos de respaldo, etc.).</w:t>
      </w:r>
    </w:p>
    <w:p w14:paraId="5F12F33E" w14:textId="67DBCDD8" w:rsidR="00382C10" w:rsidRPr="005819FD" w:rsidRDefault="00382C10" w:rsidP="00382C10">
      <w:pPr>
        <w:numPr>
          <w:ilvl w:val="0"/>
          <w:numId w:val="40"/>
        </w:numPr>
        <w:spacing w:before="0" w:after="120" w:line="240" w:lineRule="auto"/>
        <w:jc w:val="both"/>
        <w:rPr>
          <w:rFonts w:asciiTheme="majorHAnsi" w:eastAsia="MS Mincho" w:hAnsiTheme="majorHAnsi" w:cstheme="majorHAnsi"/>
          <w:noProof/>
          <w:szCs w:val="24"/>
          <w:lang w:val="es-ES"/>
        </w:rPr>
      </w:pPr>
      <w:r>
        <w:rPr>
          <w:rFonts w:asciiTheme="majorHAnsi" w:eastAsia="MS Mincho" w:hAnsiTheme="majorHAnsi" w:cstheme="majorHAnsi"/>
          <w:b/>
          <w:bCs/>
          <w:noProof/>
          <w:szCs w:val="24"/>
          <w:lang w:val="es"/>
        </w:rPr>
        <w:t>Bienes y</w:t>
      </w:r>
      <w:r>
        <w:rPr>
          <w:rFonts w:asciiTheme="majorHAnsi" w:eastAsia="MS Mincho" w:hAnsiTheme="majorHAnsi" w:cstheme="majorHAnsi"/>
          <w:b/>
          <w:bCs/>
          <w:szCs w:val="24"/>
          <w:lang w:val="es"/>
        </w:rPr>
        <w:t xml:space="preserve"> </w:t>
      </w:r>
      <w:r>
        <w:rPr>
          <w:rFonts w:asciiTheme="majorHAnsi" w:eastAsia="MS Mincho" w:hAnsiTheme="majorHAnsi" w:cstheme="majorHAnsi"/>
          <w:b/>
          <w:bCs/>
          <w:noProof/>
          <w:szCs w:val="24"/>
          <w:lang w:val="es"/>
        </w:rPr>
        <w:t>servicios:</w:t>
      </w:r>
      <w:r>
        <w:rPr>
          <w:rFonts w:asciiTheme="majorHAnsi" w:eastAsia="MS Mincho" w:hAnsiTheme="majorHAnsi" w:cstheme="majorHAnsi"/>
          <w:noProof/>
          <w:szCs w:val="24"/>
          <w:lang w:val="es"/>
        </w:rPr>
        <w:t xml:space="preserve"> se han adquirido de manera transparente, competitiva y con arreglo al acuerdo de subvención y a los procedimientos de adquisiciones del Receptor Principal y los subreceptores clave.</w:t>
      </w:r>
    </w:p>
    <w:p w14:paraId="750A7B8B" w14:textId="78CA049C"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noProof/>
          <w:szCs w:val="24"/>
          <w:lang w:val="es"/>
        </w:rPr>
        <w:t>Sistemas de adquisición de productos farmacéuticos y sanitarios</w:t>
      </w:r>
      <w:r>
        <w:rPr>
          <w:rFonts w:asciiTheme="majorHAnsi" w:eastAsia="MS Mincho" w:hAnsiTheme="majorHAnsi" w:cstheme="majorHAnsi"/>
          <w:noProof/>
          <w:szCs w:val="24"/>
          <w:lang w:val="es"/>
        </w:rPr>
        <w:t>:</w:t>
      </w:r>
      <w:r>
        <w:rPr>
          <w:rFonts w:asciiTheme="majorHAnsi" w:eastAsia="MS Mincho" w:hAnsiTheme="majorHAnsi" w:cstheme="majorHAnsi"/>
          <w:szCs w:val="24"/>
          <w:lang w:val="es"/>
        </w:rPr>
        <w:t xml:space="preserve"> comprobación de que los sistemas y controles de las adquisiciones y el inventario son adecuados para respaldar eficientemente la adquisición, el almacenamiento, el suministro y la distribución de los productos farmacéuticos y sanitarios, de conformidad con los objetivos de los programas. Para los productos del PPM/</w:t>
      </w:r>
      <w:proofErr w:type="spellStart"/>
      <w:r>
        <w:rPr>
          <w:rFonts w:asciiTheme="majorHAnsi" w:eastAsia="MS Mincho" w:hAnsiTheme="majorHAnsi" w:cstheme="majorHAnsi"/>
          <w:szCs w:val="24"/>
          <w:lang w:val="es"/>
        </w:rPr>
        <w:t>Wambo</w:t>
      </w:r>
      <w:proofErr w:type="spellEnd"/>
      <w:r>
        <w:rPr>
          <w:rFonts w:asciiTheme="majorHAnsi" w:eastAsia="MS Mincho" w:hAnsiTheme="majorHAnsi" w:cstheme="majorHAnsi"/>
          <w:szCs w:val="24"/>
          <w:lang w:val="es"/>
        </w:rPr>
        <w:t>, la verificación cubre únicamente el almacenamiento, el suministro y la distribución de productos farmacéuticos y sanitarios.</w:t>
      </w:r>
    </w:p>
    <w:p w14:paraId="2E328486" w14:textId="5AB53889"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i/>
          <w:iCs/>
          <w:szCs w:val="24"/>
          <w:lang w:val="es"/>
        </w:rPr>
        <w:t>Costos de recursos humanos:</w:t>
      </w:r>
      <w:r>
        <w:rPr>
          <w:rFonts w:asciiTheme="majorHAnsi" w:eastAsia="MS Mincho" w:hAnsiTheme="majorHAnsi" w:cstheme="majorHAnsi"/>
          <w:i/>
          <w:iCs/>
          <w:szCs w:val="24"/>
          <w:lang w:val="es"/>
        </w:rPr>
        <w:t xml:space="preserve"> </w:t>
      </w:r>
      <w:r>
        <w:rPr>
          <w:rFonts w:asciiTheme="majorHAnsi" w:eastAsia="MS Mincho" w:hAnsiTheme="majorHAnsi" w:cstheme="majorHAnsi"/>
          <w:szCs w:val="24"/>
          <w:lang w:val="es"/>
        </w:rPr>
        <w:t xml:space="preserve">confirmación de que todos los costos de recursos humanos imputados a la subvención se ajustan a los supuestos presupuestarios aprobados por el Fondo Mundial y están justificados por los contratos, nóminas y registros correspondientes. </w:t>
      </w:r>
    </w:p>
    <w:p w14:paraId="6312DA6D" w14:textId="3039B8A5" w:rsidR="00382C10" w:rsidRPr="005819FD" w:rsidRDefault="00382C10" w:rsidP="00382C10">
      <w:pPr>
        <w:numPr>
          <w:ilvl w:val="0"/>
          <w:numId w:val="40"/>
        </w:numPr>
        <w:spacing w:before="0" w:after="120" w:line="240" w:lineRule="auto"/>
        <w:jc w:val="both"/>
        <w:rPr>
          <w:rFonts w:asciiTheme="majorHAnsi" w:eastAsia="MS Mincho" w:hAnsiTheme="majorHAnsi" w:cstheme="majorHAnsi"/>
          <w:szCs w:val="24"/>
          <w:lang w:val="es-ES"/>
        </w:rPr>
      </w:pPr>
      <w:r>
        <w:rPr>
          <w:rFonts w:asciiTheme="majorHAnsi" w:eastAsia="MS Mincho" w:hAnsiTheme="majorHAnsi" w:cstheme="majorHAnsi"/>
          <w:b/>
          <w:bCs/>
          <w:i/>
          <w:iCs/>
          <w:noProof/>
          <w:szCs w:val="24"/>
          <w:lang w:val="es"/>
        </w:rPr>
        <w:t>Viajes y costos relacionados:</w:t>
      </w:r>
      <w:r>
        <w:rPr>
          <w:rFonts w:asciiTheme="majorHAnsi" w:eastAsia="MS Mincho" w:hAnsiTheme="majorHAnsi" w:cstheme="majorHAnsi"/>
          <w:noProof/>
          <w:szCs w:val="24"/>
          <w:lang w:val="es"/>
        </w:rPr>
        <w:t xml:space="preserve"> revisión de los gastos de viajes y transporte para determinar si se ajustan a los supuestos presupuestarios aprobados por el Fondo Mundial, están debidamente justificados y han sido aprobados con arreglo a las políticas de la entidad ejecutora.</w:t>
      </w:r>
    </w:p>
    <w:p w14:paraId="12FB4B49" w14:textId="39649824" w:rsidR="00FA549F" w:rsidRPr="005819FD" w:rsidRDefault="009171CA" w:rsidP="009171CA">
      <w:pPr>
        <w:numPr>
          <w:ilvl w:val="0"/>
          <w:numId w:val="40"/>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b/>
          <w:bCs/>
          <w:noProof/>
          <w:lang w:val="es"/>
        </w:rPr>
        <w:lastRenderedPageBreak/>
        <w:t>Alcance adicional:</w:t>
      </w:r>
      <w:r>
        <w:rPr>
          <w:rFonts w:asciiTheme="majorHAnsi" w:eastAsia="Calibri" w:hAnsiTheme="majorHAnsi" w:cstheme="majorHAnsi"/>
          <w:noProof/>
          <w:lang w:val="es"/>
        </w:rPr>
        <w:t xml:space="preserve"> además, el Fondo Mundial puede solicitar a los auditores que revisen cualquier otra área de interés, en cuyo caso el alcance adicional será acordado previamente entre el Fondo Mundial y los auditores: </w:t>
      </w:r>
    </w:p>
    <w:p w14:paraId="03B743C7" w14:textId="30ACB70A" w:rsidR="009171CA" w:rsidRPr="005819FD" w:rsidRDefault="00AD2F00" w:rsidP="00FA549F">
      <w:pPr>
        <w:pStyle w:val="ListParagraph"/>
        <w:numPr>
          <w:ilvl w:val="0"/>
          <w:numId w:val="61"/>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[Especificar qué área, si corresponde]</w:t>
      </w:r>
    </w:p>
    <w:p w14:paraId="1B5EBDEB" w14:textId="7C86C869" w:rsidR="00BD30C2" w:rsidRPr="005819FD" w:rsidRDefault="00BD30C2" w:rsidP="00A30A41">
      <w:pPr>
        <w:pStyle w:val="ListParagraph"/>
        <w:numPr>
          <w:ilvl w:val="0"/>
          <w:numId w:val="61"/>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[Especificar qué área, si corresponde]</w:t>
      </w:r>
    </w:p>
    <w:p w14:paraId="256AEC1C" w14:textId="50AACA4F" w:rsidR="00382C10" w:rsidRPr="007D0506" w:rsidRDefault="00382C10" w:rsidP="00382C10">
      <w:pPr>
        <w:keepNext/>
        <w:keepLines/>
        <w:numPr>
          <w:ilvl w:val="0"/>
          <w:numId w:val="29"/>
        </w:numPr>
        <w:spacing w:before="240" w:after="120" w:line="240" w:lineRule="auto"/>
        <w:outlineLvl w:val="0"/>
        <w:rPr>
          <w:rFonts w:asciiTheme="majorHAnsi" w:eastAsia="MS Gothic" w:hAnsiTheme="majorHAnsi" w:cstheme="majorHAnsi"/>
          <w:b/>
          <w:bCs/>
          <w:sz w:val="24"/>
          <w:szCs w:val="28"/>
        </w:rPr>
      </w:pPr>
      <w:bookmarkStart w:id="89" w:name="_Toc101550404"/>
      <w:bookmarkStart w:id="90" w:name="_Toc101541017"/>
      <w:bookmarkStart w:id="91" w:name="_Toc101540577"/>
      <w:bookmarkStart w:id="92" w:name="_Toc101540447"/>
      <w:bookmarkStart w:id="93" w:name="_Toc101540348"/>
      <w:bookmarkStart w:id="94" w:name="_Toc101540297"/>
      <w:bookmarkStart w:id="95" w:name="_Toc101540239"/>
      <w:bookmarkStart w:id="96" w:name="_Toc101540058"/>
      <w:bookmarkStart w:id="97" w:name="_Toc101539153"/>
      <w:bookmarkStart w:id="98" w:name="_Toc101538302"/>
      <w:bookmarkStart w:id="99" w:name="_Toc100821738"/>
      <w:bookmarkStart w:id="100" w:name="_Toc100559992"/>
      <w:bookmarkStart w:id="101" w:name="_Toc101550403"/>
      <w:bookmarkStart w:id="102" w:name="_Toc101541016"/>
      <w:bookmarkStart w:id="103" w:name="_Toc101540576"/>
      <w:bookmarkStart w:id="104" w:name="_Toc101540446"/>
      <w:bookmarkStart w:id="105" w:name="_Toc101540347"/>
      <w:bookmarkStart w:id="106" w:name="_Toc101540296"/>
      <w:bookmarkStart w:id="107" w:name="_Toc101540238"/>
      <w:bookmarkStart w:id="108" w:name="_Toc101540057"/>
      <w:bookmarkStart w:id="109" w:name="_Toc101539152"/>
      <w:bookmarkStart w:id="110" w:name="_Toc101538301"/>
      <w:bookmarkStart w:id="111" w:name="_Toc100821737"/>
      <w:bookmarkStart w:id="112" w:name="_Toc100559991"/>
      <w:bookmarkStart w:id="113" w:name="_Toc5026417"/>
      <w:bookmarkStart w:id="114" w:name="_Toc19971616"/>
      <w:bookmarkStart w:id="115" w:name="_Toc19971782"/>
      <w:bookmarkStart w:id="116" w:name="_Toc19971948"/>
      <w:bookmarkStart w:id="117" w:name="_Toc19972114"/>
      <w:bookmarkStart w:id="118" w:name="_Toc19972280"/>
      <w:bookmarkStart w:id="119" w:name="_Toc19972446"/>
      <w:bookmarkStart w:id="120" w:name="_Toc20466640"/>
      <w:bookmarkStart w:id="121" w:name="_Toc104292643"/>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heme="majorHAnsi" w:eastAsia="MS Gothic" w:hAnsiTheme="majorHAnsi" w:cstheme="majorHAnsi"/>
          <w:b/>
          <w:bCs/>
          <w:sz w:val="24"/>
          <w:szCs w:val="28"/>
          <w:lang w:val="es"/>
        </w:rPr>
        <w:t>Procedimientos de auditoría</w:t>
      </w:r>
      <w:bookmarkEnd w:id="113"/>
      <w:bookmarkEnd w:id="114"/>
      <w:bookmarkEnd w:id="115"/>
      <w:bookmarkEnd w:id="116"/>
      <w:bookmarkEnd w:id="117"/>
      <w:bookmarkEnd w:id="118"/>
      <w:bookmarkEnd w:id="119"/>
      <w:bookmarkEnd w:id="120"/>
      <w:bookmarkEnd w:id="121"/>
    </w:p>
    <w:p w14:paraId="11F0BA4D" w14:textId="543F86AF" w:rsidR="00382C10" w:rsidRPr="00382C10" w:rsidRDefault="00382C10" w:rsidP="00382C10">
      <w:pPr>
        <w:keepNext/>
        <w:keepLines/>
        <w:numPr>
          <w:ilvl w:val="1"/>
          <w:numId w:val="43"/>
        </w:numPr>
        <w:spacing w:before="240" w:after="120" w:line="240" w:lineRule="auto"/>
        <w:outlineLvl w:val="0"/>
        <w:rPr>
          <w:rFonts w:asciiTheme="majorHAnsi" w:eastAsia="MS Gothic" w:hAnsiTheme="majorHAnsi" w:cstheme="majorHAnsi"/>
          <w:b/>
          <w:bCs/>
          <w:sz w:val="24"/>
          <w:szCs w:val="26"/>
        </w:rPr>
      </w:pPr>
      <w:bookmarkStart w:id="122" w:name="_Toc5026418"/>
      <w:bookmarkStart w:id="123" w:name="_Toc19971617"/>
      <w:bookmarkStart w:id="124" w:name="_Toc19971783"/>
      <w:bookmarkStart w:id="125" w:name="_Toc19971949"/>
      <w:bookmarkStart w:id="126" w:name="_Toc19972115"/>
      <w:bookmarkStart w:id="127" w:name="_Toc19972281"/>
      <w:bookmarkStart w:id="128" w:name="_Toc19972447"/>
      <w:bookmarkStart w:id="129" w:name="_Toc20466641"/>
      <w:bookmarkStart w:id="130" w:name="_Toc104292644"/>
      <w:r>
        <w:rPr>
          <w:rFonts w:asciiTheme="majorHAnsi" w:eastAsia="MS Gothic" w:hAnsiTheme="majorHAnsi" w:cstheme="majorHAnsi"/>
          <w:b/>
          <w:bCs/>
          <w:noProof/>
          <w:color w:val="000000"/>
          <w:sz w:val="24"/>
          <w:szCs w:val="28"/>
          <w:lang w:val="es"/>
        </w:rPr>
        <w:t>Planificación</w:t>
      </w:r>
      <w:bookmarkEnd w:id="122"/>
      <w:bookmarkEnd w:id="123"/>
      <w:bookmarkEnd w:id="124"/>
      <w:bookmarkEnd w:id="125"/>
      <w:bookmarkEnd w:id="126"/>
      <w:bookmarkEnd w:id="127"/>
      <w:bookmarkEnd w:id="128"/>
      <w:bookmarkEnd w:id="129"/>
      <w:bookmarkEnd w:id="130"/>
    </w:p>
    <w:p w14:paraId="5B27E46D" w14:textId="34A0A395" w:rsidR="00382C10" w:rsidRPr="005819FD" w:rsidRDefault="00382C10" w:rsidP="00A30A41">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es-ES"/>
        </w:rPr>
      </w:pPr>
      <w:bookmarkStart w:id="131" w:name="_Toc5026419"/>
      <w:bookmarkStart w:id="132" w:name="_Toc19971618"/>
      <w:bookmarkStart w:id="133" w:name="_Toc19971784"/>
      <w:bookmarkStart w:id="134" w:name="_Toc19971950"/>
      <w:bookmarkStart w:id="135" w:name="_Toc19972116"/>
      <w:bookmarkStart w:id="136" w:name="_Toc19972282"/>
      <w:bookmarkStart w:id="137" w:name="_Toc19972448"/>
      <w:bookmarkStart w:id="138" w:name="_Toc20466642"/>
      <w:bookmarkStart w:id="139" w:name="_Toc104292645"/>
      <w:r>
        <w:rPr>
          <w:rFonts w:asciiTheme="majorHAnsi" w:eastAsia="MS Gothic" w:hAnsiTheme="majorHAnsi" w:cstheme="majorHAnsi"/>
          <w:b/>
          <w:bCs/>
          <w:noProof/>
          <w:szCs w:val="24"/>
          <w:lang w:val="es"/>
        </w:rPr>
        <w:t>Reunión inicial con el Receptor Principal</w:t>
      </w:r>
      <w:bookmarkEnd w:id="131"/>
      <w:bookmarkEnd w:id="132"/>
      <w:bookmarkEnd w:id="133"/>
      <w:bookmarkEnd w:id="134"/>
      <w:bookmarkEnd w:id="135"/>
      <w:bookmarkEnd w:id="136"/>
      <w:bookmarkEnd w:id="137"/>
      <w:bookmarkEnd w:id="138"/>
      <w:bookmarkEnd w:id="139"/>
    </w:p>
    <w:p w14:paraId="24731C3D" w14:textId="77777777" w:rsidR="00382C10" w:rsidRPr="005819FD" w:rsidRDefault="00382C10" w:rsidP="00382C10">
      <w:pPr>
        <w:numPr>
          <w:ilvl w:val="0"/>
          <w:numId w:val="36"/>
        </w:numPr>
        <w:spacing w:before="0" w:after="120" w:line="240" w:lineRule="auto"/>
        <w:ind w:right="26"/>
        <w:jc w:val="both"/>
        <w:rPr>
          <w:rFonts w:asciiTheme="majorHAnsi" w:eastAsia="Calibri" w:hAnsiTheme="majorHAnsi" w:cstheme="majorHAnsi"/>
          <w:lang w:val="es-ES"/>
        </w:rPr>
      </w:pPr>
      <w:r>
        <w:rPr>
          <w:rFonts w:asciiTheme="majorHAnsi" w:eastAsia="Calibri" w:hAnsiTheme="majorHAnsi" w:cstheme="majorHAnsi"/>
          <w:lang w:val="es"/>
        </w:rPr>
        <w:t xml:space="preserve">Para cada subvención, el auditor concertará una reunión inicial con el Receptor Principal y el agente fiscal/fiduciario, si correspondiera, </w:t>
      </w:r>
      <w:r>
        <w:rPr>
          <w:rFonts w:asciiTheme="majorHAnsi" w:eastAsia="Calibri" w:hAnsiTheme="majorHAnsi" w:cstheme="majorHAnsi"/>
          <w:noProof/>
          <w:lang w:val="es"/>
        </w:rPr>
        <w:t>con el fin de analizar y explicar la planificación, el trabajo de campo y la presentación de informes. El auditor explicará la naturaleza, los objetivos y el alcance de la auditoría.</w:t>
      </w:r>
      <w:r>
        <w:rPr>
          <w:rFonts w:asciiTheme="majorHAnsi" w:eastAsia="Calibri" w:hAnsiTheme="majorHAnsi" w:cstheme="majorHAnsi"/>
          <w:lang w:val="es"/>
        </w:rPr>
        <w:t xml:space="preserve"> </w:t>
      </w:r>
    </w:p>
    <w:p w14:paraId="6F0F268D" w14:textId="24F59023"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Durante las reuniones preparatoria e </w:t>
      </w:r>
      <w:r>
        <w:rPr>
          <w:rFonts w:asciiTheme="majorHAnsi" w:eastAsia="Calibri" w:hAnsiTheme="majorHAnsi" w:cstheme="majorHAnsi"/>
          <w:noProof/>
          <w:lang w:val="es"/>
        </w:rPr>
        <w:t>inicial</w:t>
      </w:r>
      <w:r>
        <w:rPr>
          <w:rFonts w:asciiTheme="majorHAnsi" w:eastAsia="Calibri" w:hAnsiTheme="majorHAnsi" w:cstheme="majorHAnsi"/>
          <w:lang w:val="es"/>
        </w:rPr>
        <w:t xml:space="preserve">, </w:t>
      </w:r>
      <w:r>
        <w:rPr>
          <w:rFonts w:asciiTheme="majorHAnsi" w:eastAsia="Calibri" w:hAnsiTheme="majorHAnsi" w:cstheme="majorHAnsi"/>
          <w:noProof/>
          <w:lang w:val="es"/>
        </w:rPr>
        <w:t>el auditor puede solicitar información y documentos adicionales que considere necesarios o útiles para la planificación y el trabajo de campo de la auditoría. El auditor puede ponerse en contacto directamente con el</w:t>
      </w:r>
      <w:r>
        <w:rPr>
          <w:rFonts w:asciiTheme="majorHAnsi" w:eastAsia="Calibri" w:hAnsiTheme="majorHAnsi" w:cstheme="majorHAnsi"/>
          <w:lang w:val="es"/>
        </w:rPr>
        <w:t xml:space="preserve"> Receptor Principal con el fin de obtener dicha información. Para todos los países enfocados, la asistencia del Agente Local del Fondo es obligatoria. En los países centrales y de alto impacto, deberá participar el ALF o el especialista en finanzas.</w:t>
      </w:r>
    </w:p>
    <w:p w14:paraId="3346D99F"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40177FE7" w14:textId="176BC8B4" w:rsidR="00382C10" w:rsidRPr="005819FD" w:rsidRDefault="00382C10" w:rsidP="00A30A41">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es-ES"/>
        </w:rPr>
      </w:pPr>
      <w:bookmarkStart w:id="140" w:name="_Toc5026420"/>
      <w:bookmarkStart w:id="141" w:name="_Toc19971619"/>
      <w:bookmarkStart w:id="142" w:name="_Toc19971785"/>
      <w:bookmarkStart w:id="143" w:name="_Toc19971951"/>
      <w:bookmarkStart w:id="144" w:name="_Toc19972117"/>
      <w:bookmarkStart w:id="145" w:name="_Toc19972283"/>
      <w:bookmarkStart w:id="146" w:name="_Toc19972449"/>
      <w:bookmarkStart w:id="147" w:name="_Toc20466643"/>
      <w:bookmarkStart w:id="148" w:name="_Toc104292646"/>
      <w:r>
        <w:rPr>
          <w:rFonts w:asciiTheme="majorHAnsi" w:eastAsia="MS Gothic" w:hAnsiTheme="majorHAnsi" w:cstheme="majorHAnsi"/>
          <w:b/>
          <w:bCs/>
          <w:noProof/>
          <w:szCs w:val="24"/>
          <w:lang w:val="es"/>
        </w:rPr>
        <w:t>Actividades de planificación, plan de auditoría y programas del trabajo de auditoría</w:t>
      </w:r>
      <w:bookmarkEnd w:id="140"/>
      <w:bookmarkEnd w:id="141"/>
      <w:bookmarkEnd w:id="142"/>
      <w:bookmarkEnd w:id="143"/>
      <w:bookmarkEnd w:id="144"/>
      <w:bookmarkEnd w:id="145"/>
      <w:bookmarkEnd w:id="146"/>
      <w:bookmarkEnd w:id="147"/>
      <w:bookmarkEnd w:id="148"/>
    </w:p>
    <w:p w14:paraId="6092A445"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Para cada subvención, el auditor planificará la auditoría </w:t>
      </w:r>
      <w:r>
        <w:rPr>
          <w:rFonts w:asciiTheme="majorHAnsi" w:eastAsia="Calibri" w:hAnsiTheme="majorHAnsi" w:cstheme="majorHAnsi"/>
          <w:noProof/>
          <w:lang w:val="es"/>
        </w:rPr>
        <w:t>de modo</w:t>
      </w:r>
      <w:r>
        <w:rPr>
          <w:rFonts w:asciiTheme="majorHAnsi" w:eastAsia="Calibri" w:hAnsiTheme="majorHAnsi" w:cstheme="majorHAnsi"/>
          <w:lang w:val="es"/>
        </w:rPr>
        <w:t xml:space="preserve"> que </w:t>
      </w:r>
      <w:r>
        <w:rPr>
          <w:rFonts w:asciiTheme="majorHAnsi" w:eastAsia="Calibri" w:hAnsiTheme="majorHAnsi" w:cstheme="majorHAnsi"/>
          <w:noProof/>
          <w:lang w:val="es"/>
        </w:rPr>
        <w:t>se lleve a cabo de una manera eficiente y eficaz. Una planificación adecuada implica asegurar que se dedique la atención necesaria a las áreas relevantes de la auditoría, se detecten y resuelvan los problemas potenciales de manera puntual, y que la auditoría se</w:t>
      </w:r>
      <w:r>
        <w:rPr>
          <w:rFonts w:asciiTheme="majorHAnsi" w:eastAsia="Calibri" w:hAnsiTheme="majorHAnsi" w:cstheme="majorHAnsi"/>
          <w:lang w:val="es"/>
        </w:rPr>
        <w:t xml:space="preserve"> </w:t>
      </w:r>
      <w:r>
        <w:rPr>
          <w:rFonts w:asciiTheme="majorHAnsi" w:eastAsia="Calibri" w:hAnsiTheme="majorHAnsi" w:cstheme="majorHAnsi"/>
          <w:noProof/>
          <w:lang w:val="es"/>
        </w:rPr>
        <w:t>organice</w:t>
      </w:r>
      <w:r>
        <w:rPr>
          <w:rFonts w:asciiTheme="majorHAnsi" w:eastAsia="Calibri" w:hAnsiTheme="majorHAnsi" w:cstheme="majorHAnsi"/>
          <w:lang w:val="es"/>
        </w:rPr>
        <w:t xml:space="preserve"> y gestione como corresponde dentro de las fechas previstas.</w:t>
      </w:r>
    </w:p>
    <w:p w14:paraId="74B4E5B9"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La evaluación de los riesgos de incorrecciones sustanciales</w:t>
      </w:r>
      <w:r>
        <w:rPr>
          <w:rFonts w:asciiTheme="majorHAnsi" w:eastAsia="Calibri" w:hAnsiTheme="majorHAnsi" w:cstheme="majorHAnsi"/>
          <w:lang w:val="es"/>
        </w:rPr>
        <w:t xml:space="preserve"> a nivel de los estados financieros y, por consiguiente, las respuestas generales del auditor, se ve afectada por la comprensión del auditor respecto del entorno de control. </w:t>
      </w:r>
    </w:p>
    <w:p w14:paraId="5ADDD14F"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El auditor debe contar con un plan de auditoría que documente el enfoque de la auditoría y los principios clave de su planificación, trabajo de campo y presentación de informes. El auditor debe disponer de programas de trabajo de auditoría que detallen y documenten las pruebas y procedimientos relacionados con la auditoría. </w:t>
      </w:r>
    </w:p>
    <w:p w14:paraId="0AB39B25"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Antes de comenzar el trabajo de campo y la reunión </w:t>
      </w:r>
      <w:r>
        <w:rPr>
          <w:rFonts w:asciiTheme="majorHAnsi" w:eastAsia="Calibri" w:hAnsiTheme="majorHAnsi" w:cstheme="majorHAnsi"/>
          <w:noProof/>
          <w:lang w:val="es"/>
        </w:rPr>
        <w:t>inicial</w:t>
      </w:r>
      <w:r>
        <w:rPr>
          <w:rFonts w:asciiTheme="majorHAnsi" w:eastAsia="Calibri" w:hAnsiTheme="majorHAnsi" w:cstheme="majorHAnsi"/>
          <w:lang w:val="es"/>
        </w:rPr>
        <w:t>, el auditor debe facilitar al especialista en finanzas</w:t>
      </w:r>
      <w:r>
        <w:rPr>
          <w:rFonts w:asciiTheme="majorHAnsi" w:eastAsia="Calibri" w:hAnsiTheme="majorHAnsi" w:cstheme="majorHAnsi"/>
          <w:vertAlign w:val="superscript"/>
          <w:lang w:val="es"/>
        </w:rPr>
        <w:footnoteReference w:id="15"/>
      </w:r>
      <w:r>
        <w:rPr>
          <w:rFonts w:asciiTheme="majorHAnsi" w:eastAsia="Calibri" w:hAnsiTheme="majorHAnsi" w:cstheme="majorHAnsi"/>
          <w:lang w:val="es"/>
        </w:rPr>
        <w:t xml:space="preserve"> del</w:t>
      </w:r>
      <w:r>
        <w:rPr>
          <w:rFonts w:asciiTheme="majorHAnsi" w:eastAsia="Calibri" w:hAnsiTheme="majorHAnsi" w:cstheme="majorHAnsi"/>
          <w:noProof/>
          <w:lang w:val="es"/>
        </w:rPr>
        <w:t xml:space="preserve"> Fondo Mundial</w:t>
      </w:r>
      <w:r>
        <w:rPr>
          <w:rFonts w:asciiTheme="majorHAnsi" w:eastAsia="Calibri" w:hAnsiTheme="majorHAnsi" w:cstheme="majorHAnsi"/>
          <w:lang w:val="es"/>
        </w:rPr>
        <w:t xml:space="preserve"> y al Receptor Principal el plan de auditoría para cada subvención, incluido el alcance de la revisión. Se prestará una mayor atención al enfoque de la auditoría en el Receptor Principal, pero también en los subreceptores seleccionados.</w:t>
      </w:r>
    </w:p>
    <w:p w14:paraId="27538CF2" w14:textId="60728563" w:rsidR="00382C10" w:rsidRPr="00382C10" w:rsidRDefault="00C902D6" w:rsidP="00382C10">
      <w:pPr>
        <w:keepNext/>
        <w:keepLines/>
        <w:numPr>
          <w:ilvl w:val="1"/>
          <w:numId w:val="43"/>
        </w:numPr>
        <w:spacing w:before="240" w:after="120" w:line="240" w:lineRule="auto"/>
        <w:outlineLvl w:val="0"/>
        <w:rPr>
          <w:rFonts w:asciiTheme="majorHAnsi" w:eastAsia="MS Gothic" w:hAnsiTheme="majorHAnsi" w:cstheme="majorHAnsi"/>
          <w:b/>
          <w:bCs/>
          <w:noProof/>
          <w:color w:val="000000"/>
          <w:sz w:val="24"/>
          <w:szCs w:val="28"/>
        </w:rPr>
      </w:pPr>
      <w:bookmarkStart w:id="149" w:name="_Toc104292647"/>
      <w:r>
        <w:rPr>
          <w:rFonts w:asciiTheme="majorHAnsi" w:eastAsia="MS Gothic" w:hAnsiTheme="majorHAnsi" w:cstheme="majorHAnsi"/>
          <w:b/>
          <w:bCs/>
          <w:noProof/>
          <w:color w:val="000000"/>
          <w:sz w:val="24"/>
          <w:szCs w:val="28"/>
          <w:lang w:val="es"/>
        </w:rPr>
        <w:t>Materialidad</w:t>
      </w:r>
      <w:bookmarkEnd w:id="149"/>
    </w:p>
    <w:p w14:paraId="4B52E3B9" w14:textId="42836B9D"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 xml:space="preserve">El auditor aplicará un enfoque de niveles de </w:t>
      </w:r>
      <w:r w:rsidR="00C902D6">
        <w:rPr>
          <w:rFonts w:asciiTheme="majorHAnsi" w:eastAsia="Calibri" w:hAnsiTheme="majorHAnsi" w:cstheme="majorHAnsi"/>
          <w:noProof/>
          <w:lang w:val="es"/>
        </w:rPr>
        <w:t>materialidad</w:t>
      </w:r>
      <w:r>
        <w:rPr>
          <w:rFonts w:asciiTheme="majorHAnsi" w:eastAsia="Calibri" w:hAnsiTheme="majorHAnsi" w:cstheme="majorHAnsi"/>
          <w:noProof/>
          <w:lang w:val="es"/>
        </w:rPr>
        <w:t xml:space="preserve"> y basado en el riesgo para detectar errores e incorrecciones sustanciales en los gastos e ingresos declarados en los</w:t>
      </w:r>
      <w:r>
        <w:rPr>
          <w:rFonts w:asciiTheme="majorHAnsi" w:eastAsia="Calibri" w:hAnsiTheme="majorHAnsi" w:cstheme="majorHAnsi"/>
          <w:lang w:val="es"/>
        </w:rPr>
        <w:t xml:space="preserve"> estados financieros de una subvención, </w:t>
      </w:r>
      <w:r>
        <w:rPr>
          <w:rFonts w:asciiTheme="majorHAnsi" w:eastAsia="Calibri" w:hAnsiTheme="majorHAnsi" w:cstheme="majorHAnsi"/>
          <w:noProof/>
          <w:lang w:val="es"/>
        </w:rPr>
        <w:t>hayan sido causados por error o fraude.</w:t>
      </w:r>
    </w:p>
    <w:p w14:paraId="4FA8177A" w14:textId="3BFC5FCF" w:rsidR="001058DC" w:rsidRPr="005819FD" w:rsidRDefault="001058DC" w:rsidP="00825DE6">
      <w:p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lastRenderedPageBreak/>
        <w:t xml:space="preserve">19. Para los fines de estos términos de referencia, el auditor debe utilizar los siguientes </w:t>
      </w:r>
      <w:bookmarkStart w:id="150" w:name="_Hlk101786581"/>
      <w:r>
        <w:rPr>
          <w:rFonts w:asciiTheme="majorHAnsi" w:eastAsia="Calibri" w:hAnsiTheme="majorHAnsi" w:cstheme="majorHAnsi"/>
          <w:lang w:val="es"/>
        </w:rPr>
        <w:t xml:space="preserve">niveles de </w:t>
      </w:r>
      <w:r w:rsidR="005E0A7E">
        <w:rPr>
          <w:rFonts w:asciiTheme="majorHAnsi" w:eastAsia="Calibri" w:hAnsiTheme="majorHAnsi" w:cstheme="majorHAnsi"/>
          <w:lang w:val="es"/>
        </w:rPr>
        <w:t>materialidad</w:t>
      </w:r>
      <w:r>
        <w:rPr>
          <w:rFonts w:asciiTheme="majorHAnsi" w:eastAsia="Calibri" w:hAnsiTheme="majorHAnsi" w:cstheme="majorHAnsi"/>
          <w:lang w:val="es"/>
        </w:rPr>
        <w:t xml:space="preserve"> con el fin de evaluar las incorrecciones o errores</w:t>
      </w:r>
      <w:bookmarkEnd w:id="150"/>
      <w:r>
        <w:rPr>
          <w:rFonts w:asciiTheme="majorHAnsi" w:eastAsia="Calibri" w:hAnsiTheme="majorHAnsi" w:cstheme="majorHAnsi"/>
          <w:lang w:val="es"/>
        </w:rPr>
        <w:t xml:space="preserve">, o si una conclusión de incumplimiento es sustancial. </w:t>
      </w:r>
    </w:p>
    <w:p w14:paraId="13F9ABB6" w14:textId="143DAD90" w:rsidR="001058DC" w:rsidRPr="005819FD" w:rsidRDefault="001058DC" w:rsidP="00825DE6">
      <w:pPr>
        <w:pStyle w:val="ListParagraph"/>
        <w:numPr>
          <w:ilvl w:val="0"/>
          <w:numId w:val="47"/>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Un umbral de </w:t>
      </w:r>
      <w:r w:rsidR="005E0A7E">
        <w:rPr>
          <w:rFonts w:asciiTheme="majorHAnsi" w:eastAsia="Calibri" w:hAnsiTheme="majorHAnsi" w:cstheme="majorHAnsi"/>
          <w:lang w:val="es"/>
        </w:rPr>
        <w:t>materialidad</w:t>
      </w:r>
      <w:r>
        <w:rPr>
          <w:rFonts w:asciiTheme="majorHAnsi" w:eastAsia="Calibri" w:hAnsiTheme="majorHAnsi" w:cstheme="majorHAnsi"/>
          <w:lang w:val="es"/>
        </w:rPr>
        <w:t xml:space="preserve"> del 2% del monto total de los gastos brutos notificados con un nivel de confianza del 95% para portafolios enfocados.</w:t>
      </w:r>
    </w:p>
    <w:p w14:paraId="41E955B8" w14:textId="0F769E3A" w:rsidR="008624D5" w:rsidRPr="005819FD" w:rsidRDefault="001058DC" w:rsidP="00825DE6">
      <w:pPr>
        <w:pStyle w:val="ListParagraph"/>
        <w:numPr>
          <w:ilvl w:val="0"/>
          <w:numId w:val="47"/>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Un umbral de </w:t>
      </w:r>
      <w:r w:rsidR="005E0A7E">
        <w:rPr>
          <w:rFonts w:asciiTheme="majorHAnsi" w:eastAsia="Calibri" w:hAnsiTheme="majorHAnsi" w:cstheme="majorHAnsi"/>
          <w:lang w:val="es"/>
        </w:rPr>
        <w:t>materialidad</w:t>
      </w:r>
      <w:r>
        <w:rPr>
          <w:rFonts w:asciiTheme="majorHAnsi" w:eastAsia="Calibri" w:hAnsiTheme="majorHAnsi" w:cstheme="majorHAnsi"/>
          <w:lang w:val="es"/>
        </w:rPr>
        <w:t xml:space="preserve"> del 2% del monto total del gasto brutos notificado, menos los gastos del PPM/</w:t>
      </w:r>
      <w:proofErr w:type="spellStart"/>
      <w:r>
        <w:rPr>
          <w:rFonts w:asciiTheme="majorHAnsi" w:eastAsia="Calibri" w:hAnsiTheme="majorHAnsi" w:cstheme="majorHAnsi"/>
          <w:lang w:val="es"/>
        </w:rPr>
        <w:t>Wambo</w:t>
      </w:r>
      <w:proofErr w:type="spellEnd"/>
      <w:r>
        <w:rPr>
          <w:rFonts w:asciiTheme="majorHAnsi" w:eastAsia="Calibri" w:hAnsiTheme="majorHAnsi" w:cstheme="majorHAnsi"/>
          <w:lang w:val="es"/>
        </w:rPr>
        <w:t xml:space="preserve"> cuando existan, con un nivel de confianza del 95% para portafolios centrales y de alto impacto.</w:t>
      </w:r>
    </w:p>
    <w:p w14:paraId="337F868E" w14:textId="5F14AD8C" w:rsidR="00382C10" w:rsidRPr="007D0506" w:rsidRDefault="00382C10" w:rsidP="00382C10">
      <w:pPr>
        <w:keepNext/>
        <w:keepLines/>
        <w:numPr>
          <w:ilvl w:val="1"/>
          <w:numId w:val="43"/>
        </w:numPr>
        <w:spacing w:before="240" w:after="120" w:line="240" w:lineRule="auto"/>
        <w:outlineLvl w:val="0"/>
        <w:rPr>
          <w:rFonts w:asciiTheme="majorHAnsi" w:eastAsia="MS Gothic" w:hAnsiTheme="majorHAnsi" w:cstheme="majorHAnsi"/>
          <w:b/>
          <w:bCs/>
          <w:noProof/>
          <w:sz w:val="24"/>
          <w:szCs w:val="28"/>
        </w:rPr>
      </w:pPr>
      <w:bookmarkStart w:id="151" w:name="_Toc5026422"/>
      <w:bookmarkStart w:id="152" w:name="_Toc19971621"/>
      <w:bookmarkStart w:id="153" w:name="_Toc19971787"/>
      <w:bookmarkStart w:id="154" w:name="_Toc19971953"/>
      <w:bookmarkStart w:id="155" w:name="_Toc19972119"/>
      <w:bookmarkStart w:id="156" w:name="_Toc19972285"/>
      <w:bookmarkStart w:id="157" w:name="_Toc19972451"/>
      <w:bookmarkStart w:id="158" w:name="_Toc20466645"/>
      <w:bookmarkStart w:id="159" w:name="_Toc104292648"/>
      <w:r>
        <w:rPr>
          <w:rFonts w:asciiTheme="majorHAnsi" w:eastAsia="MS Gothic" w:hAnsiTheme="majorHAnsi" w:cstheme="majorHAnsi"/>
          <w:b/>
          <w:bCs/>
          <w:noProof/>
          <w:sz w:val="24"/>
          <w:szCs w:val="28"/>
          <w:lang w:val="es"/>
        </w:rPr>
        <w:t>Trabajo de campo</w:t>
      </w:r>
      <w:bookmarkEnd w:id="151"/>
      <w:bookmarkEnd w:id="152"/>
      <w:bookmarkEnd w:id="153"/>
      <w:bookmarkEnd w:id="154"/>
      <w:bookmarkEnd w:id="155"/>
      <w:bookmarkEnd w:id="156"/>
      <w:bookmarkEnd w:id="157"/>
      <w:bookmarkEnd w:id="158"/>
      <w:bookmarkEnd w:id="159"/>
    </w:p>
    <w:p w14:paraId="3E59C8C2" w14:textId="5DF0DE04" w:rsidR="00382C10" w:rsidRPr="005819FD"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es-ES"/>
        </w:rPr>
      </w:pPr>
      <w:bookmarkStart w:id="160" w:name="_Toc5026423"/>
      <w:bookmarkStart w:id="161" w:name="_Toc19971622"/>
      <w:bookmarkStart w:id="162" w:name="_Toc19971788"/>
      <w:bookmarkStart w:id="163" w:name="_Toc19971954"/>
      <w:bookmarkStart w:id="164" w:name="_Toc19972120"/>
      <w:bookmarkStart w:id="165" w:name="_Toc19972286"/>
      <w:bookmarkStart w:id="166" w:name="_Toc19972452"/>
      <w:bookmarkStart w:id="167" w:name="_Toc20466646"/>
      <w:r>
        <w:rPr>
          <w:rFonts w:asciiTheme="majorHAnsi" w:eastAsia="MS Gothic" w:hAnsiTheme="majorHAnsi" w:cstheme="majorHAnsi"/>
          <w:b/>
          <w:bCs/>
          <w:noProof/>
          <w:szCs w:val="24"/>
          <w:lang w:val="es"/>
        </w:rPr>
        <w:t xml:space="preserve"> </w:t>
      </w:r>
      <w:bookmarkStart w:id="168" w:name="_Toc104292649"/>
      <w:r>
        <w:rPr>
          <w:rFonts w:asciiTheme="majorHAnsi" w:eastAsia="MS Gothic" w:hAnsiTheme="majorHAnsi" w:cstheme="majorHAnsi"/>
          <w:b/>
          <w:bCs/>
          <w:noProof/>
          <w:szCs w:val="24"/>
          <w:lang w:val="es"/>
        </w:rPr>
        <w:t>Obtener pruebas relativas al diseño de controles y realizar comprobaciones de controles</w:t>
      </w:r>
      <w:bookmarkEnd w:id="160"/>
      <w:bookmarkEnd w:id="161"/>
      <w:bookmarkEnd w:id="162"/>
      <w:bookmarkEnd w:id="163"/>
      <w:bookmarkEnd w:id="164"/>
      <w:bookmarkEnd w:id="165"/>
      <w:bookmarkEnd w:id="166"/>
      <w:bookmarkEnd w:id="167"/>
      <w:bookmarkEnd w:id="168"/>
    </w:p>
    <w:p w14:paraId="157785C8"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El auditor</w:t>
      </w:r>
      <w:r>
        <w:rPr>
          <w:rFonts w:asciiTheme="majorHAnsi" w:eastAsia="Calibri" w:hAnsiTheme="majorHAnsi" w:cstheme="majorHAnsi"/>
          <w:lang w:val="es"/>
        </w:rPr>
        <w:t xml:space="preserve"> llevará </w:t>
      </w:r>
      <w:r>
        <w:rPr>
          <w:rFonts w:asciiTheme="majorHAnsi" w:eastAsia="Calibri" w:hAnsiTheme="majorHAnsi" w:cstheme="majorHAnsi"/>
          <w:noProof/>
          <w:lang w:val="es"/>
        </w:rPr>
        <w:t>a cabo procedimientos para obtener pruebas relativas al diseño de controles y realizará comprobaciones de los controles si considera que esta medida es adecuada o necesaria para el propósito de esta auditoría financiera.</w:t>
      </w:r>
    </w:p>
    <w:p w14:paraId="25541230"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El auditor centrará las pruebas de controles en los controles financieros clave, que se refieren a los asuntos descritos en los </w:t>
      </w:r>
      <w:r>
        <w:rPr>
          <w:rFonts w:asciiTheme="majorHAnsi" w:eastAsia="Calibri" w:hAnsiTheme="majorHAnsi" w:cstheme="majorHAnsi"/>
          <w:noProof/>
          <w:lang w:val="es"/>
        </w:rPr>
        <w:t>términos de referencia</w:t>
      </w:r>
      <w:r>
        <w:rPr>
          <w:rFonts w:asciiTheme="majorHAnsi" w:eastAsia="Calibri" w:hAnsiTheme="majorHAnsi" w:cstheme="majorHAnsi"/>
          <w:lang w:val="es"/>
        </w:rPr>
        <w:t xml:space="preserve"> y que son pertinentes para la gestión de los riesgos. </w:t>
      </w:r>
      <w:r>
        <w:rPr>
          <w:rFonts w:asciiTheme="majorHAnsi" w:eastAsia="Calibri" w:hAnsiTheme="majorHAnsi" w:cstheme="majorHAnsi"/>
          <w:noProof/>
          <w:lang w:val="es"/>
        </w:rPr>
        <w:t>Las conclusiones relativas a debilidades y deficiencias significativas en el diseño o la eficacia operativa de los controles del</w:t>
      </w:r>
      <w:r>
        <w:rPr>
          <w:rFonts w:asciiTheme="majorHAnsi" w:eastAsia="Calibri" w:hAnsiTheme="majorHAnsi" w:cstheme="majorHAnsi"/>
          <w:lang w:val="es"/>
        </w:rPr>
        <w:t xml:space="preserve"> Receptor Principal deben </w:t>
      </w:r>
      <w:r>
        <w:rPr>
          <w:rFonts w:asciiTheme="majorHAnsi" w:eastAsia="Calibri" w:hAnsiTheme="majorHAnsi" w:cstheme="majorHAnsi"/>
          <w:noProof/>
          <w:lang w:val="es"/>
        </w:rPr>
        <w:t>comunicarse</w:t>
      </w:r>
      <w:r>
        <w:rPr>
          <w:rFonts w:asciiTheme="majorHAnsi" w:eastAsia="Calibri" w:hAnsiTheme="majorHAnsi" w:cstheme="majorHAnsi"/>
          <w:lang w:val="es"/>
        </w:rPr>
        <w:t xml:space="preserve"> en la carta de gestión.</w:t>
      </w:r>
    </w:p>
    <w:p w14:paraId="254A8EAF"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Para los países centrales, los países de alto impacto y un número determinado de países enfocados de </w:t>
      </w:r>
      <w:r>
        <w:rPr>
          <w:rFonts w:asciiTheme="majorHAnsi" w:eastAsia="Calibri" w:hAnsiTheme="majorHAnsi" w:cstheme="majorHAnsi"/>
          <w:noProof/>
          <w:lang w:val="es"/>
        </w:rPr>
        <w:t>alto riesgo</w:t>
      </w:r>
      <w:r>
        <w:rPr>
          <w:rFonts w:asciiTheme="majorHAnsi" w:eastAsia="Calibri" w:hAnsiTheme="majorHAnsi" w:cstheme="majorHAnsi"/>
          <w:lang w:val="es"/>
        </w:rPr>
        <w:t xml:space="preserve">, el auditor </w:t>
      </w:r>
      <w:r>
        <w:rPr>
          <w:rFonts w:asciiTheme="majorHAnsi" w:eastAsia="Calibri" w:hAnsiTheme="majorHAnsi" w:cstheme="majorHAnsi"/>
          <w:b/>
          <w:bCs/>
          <w:lang w:val="es"/>
        </w:rPr>
        <w:t>debe</w:t>
      </w:r>
      <w:r>
        <w:rPr>
          <w:rFonts w:asciiTheme="majorHAnsi" w:eastAsia="Calibri" w:hAnsiTheme="majorHAnsi" w:cstheme="majorHAnsi"/>
          <w:lang w:val="es"/>
        </w:rPr>
        <w:t xml:space="preserve"> revisar el marco de control interno (financiero y programático) del Receptor Principal y los subreceptores clave identificados por el Equipo de País del Fondo Mundial en consulta con el Receptor Principal, e informar al respecto. A discreción del Equipo de País, dicha comprobación podría </w:t>
      </w:r>
      <w:r>
        <w:rPr>
          <w:rFonts w:asciiTheme="majorHAnsi" w:eastAsia="Calibri" w:hAnsiTheme="majorHAnsi" w:cstheme="majorHAnsi"/>
          <w:noProof/>
          <w:lang w:val="es"/>
        </w:rPr>
        <w:t>llevarse a cabo</w:t>
      </w:r>
      <w:r>
        <w:rPr>
          <w:rFonts w:asciiTheme="majorHAnsi" w:eastAsia="Calibri" w:hAnsiTheme="majorHAnsi" w:cstheme="majorHAnsi"/>
          <w:lang w:val="es"/>
        </w:rPr>
        <w:t xml:space="preserve"> durante una </w:t>
      </w:r>
      <w:r>
        <w:rPr>
          <w:rFonts w:asciiTheme="majorHAnsi" w:eastAsia="Calibri" w:hAnsiTheme="majorHAnsi" w:cstheme="majorHAnsi"/>
          <w:b/>
          <w:bCs/>
          <w:lang w:val="es"/>
        </w:rPr>
        <w:t xml:space="preserve">auditoría provisional </w:t>
      </w:r>
      <w:r>
        <w:rPr>
          <w:rFonts w:asciiTheme="majorHAnsi" w:eastAsia="Calibri" w:hAnsiTheme="majorHAnsi" w:cstheme="majorHAnsi"/>
          <w:lang w:val="es"/>
        </w:rPr>
        <w:t>en el Receptor Principal.</w:t>
      </w:r>
    </w:p>
    <w:p w14:paraId="085DC63F" w14:textId="65EE9E54" w:rsidR="00382C10" w:rsidRPr="007D0506"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rPr>
      </w:pPr>
      <w:bookmarkStart w:id="169" w:name="_Toc101550412"/>
      <w:bookmarkStart w:id="170" w:name="_Toc101541025"/>
      <w:bookmarkStart w:id="171" w:name="_Toc101540585"/>
      <w:bookmarkStart w:id="172" w:name="_Toc101540455"/>
      <w:bookmarkStart w:id="173" w:name="_Toc101540356"/>
      <w:bookmarkStart w:id="174" w:name="_Toc101540305"/>
      <w:bookmarkStart w:id="175" w:name="_Toc101540247"/>
      <w:bookmarkStart w:id="176" w:name="_Toc101540066"/>
      <w:bookmarkStart w:id="177" w:name="_Toc101539161"/>
      <w:bookmarkStart w:id="178" w:name="_Toc101538310"/>
      <w:bookmarkStart w:id="179" w:name="_Toc100821746"/>
      <w:bookmarkStart w:id="180" w:name="_Toc100560000"/>
      <w:bookmarkStart w:id="181" w:name="_Toc5026424"/>
      <w:bookmarkStart w:id="182" w:name="_Toc19971623"/>
      <w:bookmarkStart w:id="183" w:name="_Toc19971789"/>
      <w:bookmarkStart w:id="184" w:name="_Toc19971955"/>
      <w:bookmarkStart w:id="185" w:name="_Toc19972121"/>
      <w:bookmarkStart w:id="186" w:name="_Toc19972287"/>
      <w:bookmarkStart w:id="187" w:name="_Toc19972453"/>
      <w:bookmarkStart w:id="188" w:name="_Toc20466647"/>
      <w:bookmarkStart w:id="189" w:name="_Toc104292650"/>
      <w:bookmarkEnd w:id="169"/>
      <w:bookmarkEnd w:id="170"/>
      <w:bookmarkEnd w:id="171"/>
      <w:bookmarkEnd w:id="172"/>
      <w:bookmarkEnd w:id="173"/>
      <w:bookmarkEnd w:id="174"/>
      <w:bookmarkEnd w:id="175"/>
      <w:bookmarkEnd w:id="176"/>
      <w:bookmarkEnd w:id="177"/>
      <w:bookmarkEnd w:id="178"/>
      <w:bookmarkEnd w:id="179"/>
      <w:bookmarkEnd w:id="180"/>
      <w:r>
        <w:rPr>
          <w:rFonts w:asciiTheme="majorHAnsi" w:eastAsia="MS Gothic" w:hAnsiTheme="majorHAnsi" w:cstheme="majorHAnsi"/>
          <w:b/>
          <w:bCs/>
          <w:noProof/>
          <w:szCs w:val="24"/>
          <w:lang w:val="es"/>
        </w:rPr>
        <w:t>Procedimientos sustanciales</w:t>
      </w:r>
      <w:bookmarkEnd w:id="181"/>
      <w:bookmarkEnd w:id="182"/>
      <w:bookmarkEnd w:id="183"/>
      <w:bookmarkEnd w:id="184"/>
      <w:bookmarkEnd w:id="185"/>
      <w:bookmarkEnd w:id="186"/>
      <w:bookmarkEnd w:id="187"/>
      <w:bookmarkEnd w:id="188"/>
      <w:bookmarkEnd w:id="189"/>
    </w:p>
    <w:p w14:paraId="108B0C26"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El auditor debe llevar a cabo procedimientos sustanciales que respondan a su evaluación de los riesgos de errores o incorrecciones sustanciales en los gastos e ingresos declarados en los</w:t>
      </w:r>
      <w:r>
        <w:rPr>
          <w:rFonts w:asciiTheme="majorHAnsi" w:eastAsia="Calibri" w:hAnsiTheme="majorHAnsi" w:cstheme="majorHAnsi"/>
          <w:lang w:val="es"/>
        </w:rPr>
        <w:t xml:space="preserve"> estados financieros del programa de subvención, </w:t>
      </w:r>
      <w:r>
        <w:rPr>
          <w:rFonts w:asciiTheme="majorHAnsi" w:eastAsia="Calibri" w:hAnsiTheme="majorHAnsi" w:cstheme="majorHAnsi"/>
          <w:noProof/>
          <w:lang w:val="es"/>
        </w:rPr>
        <w:t>hayan sido causados por error o fraude. Los resultados de las pruebas de los controles, si los hubiera, deben tomarse en consideración. El auditor debe llevar a cabo procedimientos sustanciales que cubran los asuntos descritos en los términos de</w:t>
      </w:r>
      <w:r>
        <w:rPr>
          <w:rFonts w:asciiTheme="majorHAnsi" w:eastAsia="Calibri" w:hAnsiTheme="majorHAnsi" w:cstheme="majorHAnsi"/>
          <w:lang w:val="es"/>
        </w:rPr>
        <w:t xml:space="preserve"> referencia</w:t>
      </w:r>
      <w:r>
        <w:rPr>
          <w:rFonts w:asciiTheme="majorHAnsi" w:eastAsia="Calibri" w:hAnsiTheme="majorHAnsi" w:cstheme="majorHAnsi"/>
          <w:noProof/>
          <w:lang w:val="es"/>
        </w:rPr>
        <w:t xml:space="preserve"> y que sean pertinentes para la gestión de los riesgos.</w:t>
      </w:r>
      <w:r>
        <w:rPr>
          <w:rFonts w:asciiTheme="majorHAnsi" w:eastAsia="Calibri" w:hAnsiTheme="majorHAnsi" w:cstheme="majorHAnsi"/>
          <w:noProof/>
          <w:vertAlign w:val="superscript"/>
          <w:lang w:val="es"/>
        </w:rPr>
        <w:footnoteReference w:id="16"/>
      </w:r>
    </w:p>
    <w:p w14:paraId="415DB631"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bookmarkStart w:id="190" w:name="_Hlk5226491"/>
      <w:r>
        <w:rPr>
          <w:rFonts w:asciiTheme="majorHAnsi" w:eastAsia="Calibri" w:hAnsiTheme="majorHAnsi" w:cstheme="majorHAnsi"/>
          <w:noProof/>
          <w:lang w:val="es"/>
        </w:rPr>
        <w:t>En relación con el riesgo de fraude, el auditor debe cumplir con la Norma Internacional de Auditoría 240, "las responsabilidades del Auditor relativas al fraude en una auditoría de estados financieros".</w:t>
      </w:r>
    </w:p>
    <w:bookmarkEnd w:id="190"/>
    <w:p w14:paraId="43234BF8"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3C263E96" w14:textId="26471658" w:rsidR="00382C10" w:rsidRPr="005819FD"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es-ES"/>
        </w:rPr>
      </w:pPr>
      <w:bookmarkStart w:id="191" w:name="_Toc104292651"/>
      <w:r>
        <w:rPr>
          <w:rFonts w:asciiTheme="majorHAnsi" w:eastAsia="MS Gothic" w:hAnsiTheme="majorHAnsi" w:cstheme="majorHAnsi"/>
          <w:b/>
          <w:bCs/>
          <w:noProof/>
          <w:szCs w:val="24"/>
          <w:lang w:val="es"/>
        </w:rPr>
        <w:t>Muestreo y otros medios de seleccionar elementos para las pruebas</w:t>
      </w:r>
      <w:bookmarkEnd w:id="191"/>
    </w:p>
    <w:p w14:paraId="223BE400" w14:textId="3D7BC0EE"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 xml:space="preserve">Cuando diseña y lleva a cabo pruebas de controles y pruebas sustanciales, el auditor debe aplicar un muestreo de auditoría u otros medios de selección de elementos para dichas pruebas. El muestreo de auditoría implica la aplicación de procedimientos de auditoría a menos del 100% de elementos en una población de </w:t>
      </w:r>
      <w:r w:rsidR="005E0A7E">
        <w:rPr>
          <w:rFonts w:asciiTheme="majorHAnsi" w:eastAsia="Calibri" w:hAnsiTheme="majorHAnsi" w:cstheme="majorHAnsi"/>
          <w:noProof/>
          <w:lang w:val="es"/>
        </w:rPr>
        <w:t>materialidad</w:t>
      </w:r>
      <w:r>
        <w:rPr>
          <w:rFonts w:asciiTheme="majorHAnsi" w:eastAsia="Calibri" w:hAnsiTheme="majorHAnsi" w:cstheme="majorHAnsi"/>
          <w:noProof/>
          <w:lang w:val="es"/>
        </w:rPr>
        <w:t xml:space="preserve"> para la auditoría (p. ej., una clase de transacciones o un saldo de cuentas) de tal forma que todas las unidades de muestreo puedan ser seleccionadas a fin de proporcionar al auditor una base razonable sobre la cual extraer conclusiones respecto de la población en su conjunto. </w:t>
      </w:r>
    </w:p>
    <w:p w14:paraId="6EA68FDD"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lastRenderedPageBreak/>
        <w:t xml:space="preserve">El muestro de auditoría puede utilizarse como un enfoque estadístico o no estadístico. El auditor puede aplicar una selección crítica de elementos específicos de una población (p. ej., elementos clave o de gran valor, todos los elementos que superan determinado monto, elementos destinados a obtener información o elementos para poner a prueba las actividades de control). </w:t>
      </w:r>
    </w:p>
    <w:p w14:paraId="06EA1683"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Si bien el examen selectivo de elementos específicos representará a menudo un medio eficaz de obtener pruebas, esta medida no constituye un muestreo. No es posible proyectar a toda la población los resultados de procedimientos aplicados a elementos seleccionados de esta manera; por lo tanto, el análisis selectivo de elementos específicos no aporta pruebas relativas al resto de la población. El muestro, por el contrario, está diseñado para permitir que se extraigan conclusiones para toda una población basándose en el examen de una muestra extraída de esta.</w:t>
      </w:r>
    </w:p>
    <w:p w14:paraId="5D6E5191" w14:textId="690B1C88" w:rsidR="00382C10" w:rsidRPr="005819FD" w:rsidRDefault="00382C10" w:rsidP="00A30A41">
      <w:pPr>
        <w:pStyle w:val="ListParagraph"/>
        <w:numPr>
          <w:ilvl w:val="0"/>
          <w:numId w:val="36"/>
        </w:numPr>
        <w:spacing w:before="0" w:after="120" w:line="240" w:lineRule="auto"/>
        <w:jc w:val="both"/>
        <w:rPr>
          <w:rFonts w:asciiTheme="majorHAnsi" w:eastAsia="Calibri" w:hAnsiTheme="majorHAnsi" w:cstheme="majorHAnsi"/>
          <w:noProof/>
          <w:lang w:val="es-ES"/>
        </w:rPr>
      </w:pPr>
      <w:bookmarkStart w:id="192" w:name="_Hlk99707450"/>
      <w:r>
        <w:rPr>
          <w:rFonts w:asciiTheme="majorHAnsi" w:eastAsia="Calibri" w:hAnsiTheme="majorHAnsi" w:cstheme="majorHAnsi"/>
          <w:noProof/>
          <w:lang w:val="es"/>
        </w:rPr>
        <w:t xml:space="preserve">El auditor </w:t>
      </w:r>
      <w:r>
        <w:rPr>
          <w:rFonts w:asciiTheme="majorHAnsi" w:eastAsia="Calibri" w:hAnsiTheme="majorHAnsi" w:cstheme="majorHAnsi"/>
          <w:b/>
          <w:bCs/>
          <w:noProof/>
          <w:lang w:val="es"/>
        </w:rPr>
        <w:t>debe</w:t>
      </w:r>
      <w:r>
        <w:rPr>
          <w:rFonts w:asciiTheme="majorHAnsi" w:eastAsia="Calibri" w:hAnsiTheme="majorHAnsi" w:cstheme="majorHAnsi"/>
          <w:noProof/>
          <w:lang w:val="es"/>
        </w:rPr>
        <w:t xml:space="preserve"> proporcionar de manera clara detalles de la cobertura de gastos por agrupación de costos y receptor, así como la metodología de selección de la muestra</w:t>
      </w:r>
      <w:bookmarkEnd w:id="192"/>
      <w:r>
        <w:rPr>
          <w:rFonts w:asciiTheme="majorHAnsi" w:eastAsia="Calibri" w:hAnsiTheme="majorHAnsi" w:cstheme="majorHAnsi"/>
          <w:noProof/>
          <w:lang w:val="es"/>
        </w:rPr>
        <w:t>. Para esta labor, los auditores deben muestrear cada agrupación de costos presente en el presupuesto resumido de la subvención bajo revisión. Para fines de muestreo, el auditor debe utilizar umbrales adecuados en función de su evaluación de riesgos. El anexo 3 de estos términos de referencia debe utilizarse para documentar esta información.</w:t>
      </w:r>
    </w:p>
    <w:p w14:paraId="6C3C076F"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55F60C68" w14:textId="3F3E5649" w:rsidR="00382C10" w:rsidRPr="00382C10"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rPr>
      </w:pPr>
      <w:bookmarkStart w:id="193" w:name="_Toc5026425"/>
      <w:bookmarkStart w:id="194" w:name="_Toc19971624"/>
      <w:bookmarkStart w:id="195" w:name="_Toc19971790"/>
      <w:bookmarkStart w:id="196" w:name="_Toc19971956"/>
      <w:bookmarkStart w:id="197" w:name="_Toc19972122"/>
      <w:bookmarkStart w:id="198" w:name="_Toc19972288"/>
      <w:bookmarkStart w:id="199" w:name="_Toc19972454"/>
      <w:bookmarkStart w:id="200" w:name="_Toc20466648"/>
      <w:bookmarkStart w:id="201" w:name="_Toc104292652"/>
      <w:r>
        <w:rPr>
          <w:rFonts w:asciiTheme="majorHAnsi" w:eastAsia="MS Gothic" w:hAnsiTheme="majorHAnsi" w:cstheme="majorHAnsi"/>
          <w:b/>
          <w:bCs/>
          <w:noProof/>
          <w:szCs w:val="24"/>
          <w:lang w:val="es"/>
        </w:rPr>
        <w:t>Procedimientos analíticos</w:t>
      </w:r>
      <w:bookmarkEnd w:id="193"/>
      <w:bookmarkEnd w:id="194"/>
      <w:bookmarkEnd w:id="195"/>
      <w:bookmarkEnd w:id="196"/>
      <w:bookmarkEnd w:id="197"/>
      <w:bookmarkEnd w:id="198"/>
      <w:bookmarkEnd w:id="199"/>
      <w:bookmarkEnd w:id="200"/>
      <w:bookmarkEnd w:id="201"/>
    </w:p>
    <w:p w14:paraId="5B46DEF3"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El auditor debe llevar a cabo</w:t>
      </w:r>
      <w:r>
        <w:rPr>
          <w:rFonts w:asciiTheme="majorHAnsi" w:eastAsia="Calibri" w:hAnsiTheme="majorHAnsi" w:cstheme="majorHAnsi"/>
          <w:lang w:val="es"/>
        </w:rPr>
        <w:t xml:space="preserve"> procedimientos analíticos, que </w:t>
      </w:r>
      <w:r>
        <w:rPr>
          <w:rFonts w:asciiTheme="majorHAnsi" w:eastAsia="Calibri" w:hAnsiTheme="majorHAnsi" w:cstheme="majorHAnsi"/>
          <w:noProof/>
          <w:lang w:val="es"/>
        </w:rPr>
        <w:t>consisten</w:t>
      </w:r>
      <w:r>
        <w:rPr>
          <w:rFonts w:asciiTheme="majorHAnsi" w:eastAsia="Calibri" w:hAnsiTheme="majorHAnsi" w:cstheme="majorHAnsi"/>
          <w:lang w:val="es"/>
        </w:rPr>
        <w:t xml:space="preserve"> en verificar los datos financieros mediante la evaluación de las conexiones plausibles entre la </w:t>
      </w:r>
      <w:r>
        <w:rPr>
          <w:rFonts w:asciiTheme="majorHAnsi" w:eastAsia="Calibri" w:hAnsiTheme="majorHAnsi" w:cstheme="majorHAnsi"/>
          <w:noProof/>
          <w:lang w:val="es"/>
        </w:rPr>
        <w:t>información</w:t>
      </w:r>
      <w:r>
        <w:rPr>
          <w:rFonts w:asciiTheme="majorHAnsi" w:eastAsia="Calibri" w:hAnsiTheme="majorHAnsi" w:cstheme="majorHAnsi"/>
          <w:lang w:val="es"/>
        </w:rPr>
        <w:t xml:space="preserve"> tanto financiera como </w:t>
      </w:r>
      <w:r>
        <w:rPr>
          <w:rFonts w:asciiTheme="majorHAnsi" w:eastAsia="Calibri" w:hAnsiTheme="majorHAnsi" w:cstheme="majorHAnsi"/>
          <w:noProof/>
          <w:lang w:val="es"/>
        </w:rPr>
        <w:t>no financiera.</w:t>
      </w:r>
      <w:r>
        <w:rPr>
          <w:rFonts w:asciiTheme="majorHAnsi" w:eastAsia="Calibri" w:hAnsiTheme="majorHAnsi" w:cstheme="majorHAnsi"/>
          <w:lang w:val="es"/>
        </w:rPr>
        <w:t xml:space="preserve"> </w:t>
      </w:r>
      <w:r>
        <w:rPr>
          <w:rFonts w:asciiTheme="majorHAnsi" w:eastAsia="Calibri" w:hAnsiTheme="majorHAnsi" w:cstheme="majorHAnsi"/>
          <w:b/>
          <w:bCs/>
          <w:noProof/>
          <w:lang w:val="es"/>
        </w:rPr>
        <w:t>La revisión analítica del gasto real realizado en relación al presupuesto de la subvención</w:t>
      </w:r>
      <w:r>
        <w:rPr>
          <w:rFonts w:asciiTheme="majorHAnsi" w:eastAsia="Calibri" w:hAnsiTheme="majorHAnsi" w:cstheme="majorHAnsi"/>
          <w:b/>
          <w:bCs/>
          <w:lang w:val="es"/>
        </w:rPr>
        <w:t xml:space="preserve"> (presupuesto – comparaciones reales) es una comprobación de cumplimiento fundamental</w:t>
      </w:r>
      <w:r>
        <w:rPr>
          <w:rFonts w:asciiTheme="majorHAnsi" w:eastAsia="Calibri" w:hAnsiTheme="majorHAnsi" w:cstheme="majorHAnsi"/>
          <w:lang w:val="es"/>
        </w:rPr>
        <w:t>.</w:t>
      </w:r>
    </w:p>
    <w:p w14:paraId="48E40311"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6E568781" w14:textId="3AE61DAD" w:rsidR="00382C10" w:rsidRPr="005819FD"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lang w:val="es-ES"/>
        </w:rPr>
      </w:pPr>
      <w:bookmarkStart w:id="202" w:name="_Toc5026426"/>
      <w:bookmarkStart w:id="203" w:name="_Toc19971625"/>
      <w:bookmarkStart w:id="204" w:name="_Toc19971791"/>
      <w:bookmarkStart w:id="205" w:name="_Toc19971957"/>
      <w:bookmarkStart w:id="206" w:name="_Toc19972123"/>
      <w:bookmarkStart w:id="207" w:name="_Toc19972289"/>
      <w:bookmarkStart w:id="208" w:name="_Toc19972455"/>
      <w:bookmarkStart w:id="209" w:name="_Toc20466649"/>
      <w:bookmarkStart w:id="210" w:name="_Toc104292653"/>
      <w:r>
        <w:rPr>
          <w:rFonts w:asciiTheme="majorHAnsi" w:eastAsia="MS Gothic" w:hAnsiTheme="majorHAnsi" w:cstheme="majorHAnsi"/>
          <w:b/>
          <w:bCs/>
          <w:szCs w:val="24"/>
          <w:lang w:val="es"/>
        </w:rPr>
        <w:t>Utilizar el trabajo de los auditores internos</w:t>
      </w:r>
      <w:bookmarkEnd w:id="202"/>
      <w:bookmarkEnd w:id="203"/>
      <w:bookmarkEnd w:id="204"/>
      <w:bookmarkEnd w:id="205"/>
      <w:bookmarkEnd w:id="206"/>
      <w:bookmarkEnd w:id="207"/>
      <w:bookmarkEnd w:id="208"/>
      <w:bookmarkEnd w:id="209"/>
      <w:bookmarkEnd w:id="210"/>
    </w:p>
    <w:p w14:paraId="08994206"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lang w:val="es-ES"/>
        </w:rPr>
      </w:pPr>
      <w:r>
        <w:rPr>
          <w:rFonts w:asciiTheme="majorHAnsi" w:eastAsia="Calibri" w:hAnsiTheme="majorHAnsi" w:cstheme="majorHAnsi"/>
          <w:noProof/>
          <w:lang w:val="es"/>
        </w:rPr>
        <w:t xml:space="preserve">Si es pertinente para la auditoría, el auditor debe aplicar la Norma Internacional de Auditoría (ISA) 610 "Utilizar el trabajo de los auditores internos". Si el auditor determina que se puede confiar en la función de auditoría interna para llevar a cabo el encargo, debe: </w:t>
      </w:r>
    </w:p>
    <w:p w14:paraId="7A8691DB" w14:textId="77777777" w:rsidR="00382C10" w:rsidRPr="005819FD" w:rsidRDefault="00382C10" w:rsidP="00382C10">
      <w:pPr>
        <w:numPr>
          <w:ilvl w:val="0"/>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Evaluar el trabajo específico del auditor interno y en qué medida puede </w:t>
      </w:r>
      <w:r>
        <w:rPr>
          <w:rFonts w:asciiTheme="majorHAnsi" w:eastAsia="Calibri" w:hAnsiTheme="majorHAnsi" w:cstheme="majorHAnsi"/>
          <w:noProof/>
          <w:lang w:val="es"/>
        </w:rPr>
        <w:t>ser considerado</w:t>
      </w:r>
      <w:r>
        <w:rPr>
          <w:rFonts w:asciiTheme="majorHAnsi" w:eastAsia="Calibri" w:hAnsiTheme="majorHAnsi" w:cstheme="majorHAnsi"/>
          <w:lang w:val="es"/>
        </w:rPr>
        <w:t xml:space="preserve"> para la auditoría.</w:t>
      </w:r>
    </w:p>
    <w:p w14:paraId="179668CF" w14:textId="77777777" w:rsidR="00382C10" w:rsidRPr="005819FD" w:rsidRDefault="00382C10" w:rsidP="00382C10">
      <w:pPr>
        <w:numPr>
          <w:ilvl w:val="0"/>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Evaluar si el trabajo de la auditoría interna es adecuado para el objetivo de esta.</w:t>
      </w:r>
    </w:p>
    <w:p w14:paraId="003F968F" w14:textId="77777777" w:rsidR="00382C10" w:rsidRPr="005819FD" w:rsidRDefault="00382C10" w:rsidP="00382C10">
      <w:pPr>
        <w:spacing w:before="0" w:after="120" w:line="240" w:lineRule="auto"/>
        <w:jc w:val="both"/>
        <w:rPr>
          <w:rFonts w:asciiTheme="majorHAnsi" w:eastAsia="MS Mincho" w:hAnsiTheme="majorHAnsi" w:cstheme="majorHAnsi"/>
          <w:szCs w:val="24"/>
          <w:lang w:val="es-ES"/>
        </w:rPr>
      </w:pPr>
    </w:p>
    <w:p w14:paraId="227F98C2"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En el caso de que el Receptor Principal disponga de una función de auditoría interna </w:t>
      </w:r>
      <w:r>
        <w:rPr>
          <w:rFonts w:asciiTheme="majorHAnsi" w:eastAsia="Calibri" w:hAnsiTheme="majorHAnsi" w:cstheme="majorHAnsi"/>
          <w:noProof/>
          <w:lang w:val="es"/>
        </w:rPr>
        <w:t>y</w:t>
      </w:r>
      <w:r>
        <w:rPr>
          <w:rFonts w:asciiTheme="majorHAnsi" w:eastAsia="Calibri" w:hAnsiTheme="majorHAnsi" w:cstheme="majorHAnsi"/>
          <w:lang w:val="es"/>
        </w:rPr>
        <w:t xml:space="preserve"> el auditor no confíe en ella, se solicitará al auditor que aporte </w:t>
      </w:r>
      <w:r>
        <w:rPr>
          <w:rFonts w:asciiTheme="majorHAnsi" w:eastAsia="Calibri" w:hAnsiTheme="majorHAnsi" w:cstheme="majorHAnsi"/>
          <w:noProof/>
          <w:lang w:val="es"/>
        </w:rPr>
        <w:t>recomendaciones</w:t>
      </w:r>
      <w:r>
        <w:rPr>
          <w:rFonts w:asciiTheme="majorHAnsi" w:eastAsia="Calibri" w:hAnsiTheme="majorHAnsi" w:cstheme="majorHAnsi"/>
          <w:lang w:val="es"/>
        </w:rPr>
        <w:t xml:space="preserve"> para mejorar la función de auditoría interna en una sección específica de la carta de gestión.</w:t>
      </w:r>
    </w:p>
    <w:p w14:paraId="141415C9"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61947092" w14:textId="095A9CEC" w:rsidR="00382C10" w:rsidRPr="005819FD"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lang w:val="es-ES"/>
        </w:rPr>
      </w:pPr>
      <w:bookmarkStart w:id="211" w:name="_Toc5026427"/>
      <w:bookmarkStart w:id="212" w:name="_Toc20125420"/>
      <w:bookmarkStart w:id="213" w:name="_Toc20125586"/>
      <w:bookmarkStart w:id="214" w:name="_Toc20125752"/>
      <w:bookmarkStart w:id="215" w:name="_Toc20125918"/>
      <w:bookmarkStart w:id="216" w:name="_Toc20126084"/>
      <w:bookmarkStart w:id="217" w:name="_Toc20126250"/>
      <w:bookmarkStart w:id="218" w:name="_Toc20126416"/>
      <w:bookmarkStart w:id="219" w:name="_Toc20466650"/>
      <w:bookmarkStart w:id="220" w:name="_Toc104292654"/>
      <w:r>
        <w:rPr>
          <w:rFonts w:asciiTheme="majorHAnsi" w:eastAsia="MS Gothic" w:hAnsiTheme="majorHAnsi" w:cstheme="majorHAnsi"/>
          <w:b/>
          <w:bCs/>
          <w:szCs w:val="24"/>
          <w:lang w:val="es"/>
        </w:rPr>
        <w:t>Utilizar el trabajo de un experto</w:t>
      </w:r>
      <w:bookmarkEnd w:id="211"/>
      <w:bookmarkEnd w:id="212"/>
      <w:bookmarkEnd w:id="213"/>
      <w:bookmarkEnd w:id="214"/>
      <w:bookmarkEnd w:id="215"/>
      <w:bookmarkEnd w:id="216"/>
      <w:bookmarkEnd w:id="217"/>
      <w:bookmarkEnd w:id="218"/>
      <w:bookmarkEnd w:id="219"/>
      <w:bookmarkEnd w:id="220"/>
    </w:p>
    <w:p w14:paraId="16AF85DB"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El auditor puede utilizar</w:t>
      </w:r>
      <w:r>
        <w:rPr>
          <w:rFonts w:asciiTheme="majorHAnsi" w:eastAsia="Calibri" w:hAnsiTheme="majorHAnsi" w:cstheme="majorHAnsi"/>
          <w:lang w:val="es"/>
        </w:rPr>
        <w:t xml:space="preserve"> el trabajo de un individuo o una </w:t>
      </w:r>
      <w:r>
        <w:rPr>
          <w:rFonts w:asciiTheme="majorHAnsi" w:eastAsia="Calibri" w:hAnsiTheme="majorHAnsi" w:cstheme="majorHAnsi"/>
          <w:noProof/>
          <w:lang w:val="es"/>
        </w:rPr>
        <w:t>organización</w:t>
      </w:r>
      <w:r>
        <w:rPr>
          <w:rFonts w:asciiTheme="majorHAnsi" w:eastAsia="Calibri" w:hAnsiTheme="majorHAnsi" w:cstheme="majorHAnsi"/>
          <w:lang w:val="es"/>
        </w:rPr>
        <w:t xml:space="preserve"> </w:t>
      </w:r>
      <w:r>
        <w:rPr>
          <w:rFonts w:asciiTheme="majorHAnsi" w:eastAsia="Calibri" w:hAnsiTheme="majorHAnsi" w:cstheme="majorHAnsi"/>
          <w:noProof/>
          <w:lang w:val="es"/>
        </w:rPr>
        <w:t>que demuestren tener experiencia en un campo diferente al de la contabilidad o la auditoría y que sea necesario para obtener pruebas suficientes para llegar a su conclusión. El auditor debe cumplir con la Norma Internacional de Auditoría (ISA) 620 (Utilizar el trabajo de un experto) siempre y cuando esta ISA sea pertinente para la auditoría.</w:t>
      </w:r>
    </w:p>
    <w:p w14:paraId="66AEDCDA"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5D5B7D2C" w14:textId="1D70A388" w:rsidR="00382C10" w:rsidRPr="00382C10"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rPr>
      </w:pPr>
      <w:bookmarkStart w:id="221" w:name="_Toc5026428"/>
      <w:bookmarkStart w:id="222" w:name="_Toc19971627"/>
      <w:bookmarkStart w:id="223" w:name="_Toc19971793"/>
      <w:bookmarkStart w:id="224" w:name="_Toc19971959"/>
      <w:bookmarkStart w:id="225" w:name="_Toc19972125"/>
      <w:bookmarkStart w:id="226" w:name="_Toc19972291"/>
      <w:bookmarkStart w:id="227" w:name="_Toc19972457"/>
      <w:bookmarkStart w:id="228" w:name="_Toc20466651"/>
      <w:bookmarkStart w:id="229" w:name="_Toc104292655"/>
      <w:r>
        <w:rPr>
          <w:rFonts w:asciiTheme="majorHAnsi" w:eastAsia="MS Gothic" w:hAnsiTheme="majorHAnsi" w:cstheme="majorHAnsi"/>
          <w:b/>
          <w:bCs/>
          <w:szCs w:val="24"/>
          <w:lang w:val="es"/>
        </w:rPr>
        <w:t>Representaciones escritas</w:t>
      </w:r>
      <w:bookmarkEnd w:id="221"/>
      <w:bookmarkEnd w:id="222"/>
      <w:bookmarkEnd w:id="223"/>
      <w:bookmarkEnd w:id="224"/>
      <w:bookmarkEnd w:id="225"/>
      <w:bookmarkEnd w:id="226"/>
      <w:bookmarkEnd w:id="227"/>
      <w:bookmarkEnd w:id="228"/>
      <w:bookmarkEnd w:id="229"/>
    </w:p>
    <w:p w14:paraId="19DDE2FE"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 xml:space="preserve">En virtud del requisito estándar estipulado en la Norma Internacional de Auditoría (ISA) 580 (Representaciones escritas), la dirección del Receptor Principal debe proporcionar al auditor una carta de representación escrita. </w:t>
      </w:r>
      <w:r>
        <w:rPr>
          <w:rFonts w:asciiTheme="majorHAnsi" w:eastAsia="Calibri" w:hAnsiTheme="majorHAnsi" w:cstheme="majorHAnsi"/>
          <w:lang w:val="es"/>
        </w:rPr>
        <w:t xml:space="preserve">El auditor debe solicitar una carta de representación firmada </w:t>
      </w:r>
      <w:r>
        <w:rPr>
          <w:rFonts w:asciiTheme="majorHAnsi" w:eastAsia="Calibri" w:hAnsiTheme="majorHAnsi" w:cstheme="majorHAnsi"/>
          <w:lang w:val="es"/>
        </w:rPr>
        <w:lastRenderedPageBreak/>
        <w:t xml:space="preserve">por los miembros de la dirección del Receptor Principal que </w:t>
      </w:r>
      <w:r>
        <w:rPr>
          <w:rFonts w:asciiTheme="majorHAnsi" w:eastAsia="Calibri" w:hAnsiTheme="majorHAnsi" w:cstheme="majorHAnsi"/>
          <w:noProof/>
          <w:lang w:val="es"/>
        </w:rPr>
        <w:t>tienen</w:t>
      </w:r>
      <w:r>
        <w:rPr>
          <w:rFonts w:asciiTheme="majorHAnsi" w:eastAsia="Calibri" w:hAnsiTheme="majorHAnsi" w:cstheme="majorHAnsi"/>
          <w:lang w:val="es"/>
        </w:rPr>
        <w:t xml:space="preserve"> la responsabilidad principal de la subvención y de sus aspectos financieros. </w:t>
      </w:r>
    </w:p>
    <w:p w14:paraId="7059F43A" w14:textId="77777777" w:rsidR="00382C10" w:rsidRPr="005819FD" w:rsidRDefault="00382C10" w:rsidP="00382C10">
      <w:pPr>
        <w:spacing w:after="120" w:line="240" w:lineRule="auto"/>
        <w:jc w:val="both"/>
        <w:rPr>
          <w:rFonts w:asciiTheme="majorHAnsi" w:eastAsia="MS Mincho" w:hAnsiTheme="majorHAnsi" w:cstheme="majorHAnsi"/>
          <w:b/>
          <w:i/>
          <w:sz w:val="6"/>
          <w:szCs w:val="6"/>
          <w:lang w:val="es-ES"/>
        </w:rPr>
      </w:pPr>
    </w:p>
    <w:p w14:paraId="45FB39A0" w14:textId="5122F894" w:rsidR="00382C10" w:rsidRPr="00382C10"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rPr>
      </w:pPr>
      <w:bookmarkStart w:id="230" w:name="_Toc5026429"/>
      <w:bookmarkStart w:id="231" w:name="_Toc19971628"/>
      <w:bookmarkStart w:id="232" w:name="_Toc19971794"/>
      <w:bookmarkStart w:id="233" w:name="_Toc19971960"/>
      <w:bookmarkStart w:id="234" w:name="_Toc19972126"/>
      <w:bookmarkStart w:id="235" w:name="_Toc19972292"/>
      <w:bookmarkStart w:id="236" w:name="_Toc19972458"/>
      <w:bookmarkStart w:id="237" w:name="_Toc20466652"/>
      <w:bookmarkStart w:id="238" w:name="_Toc104292656"/>
      <w:r>
        <w:rPr>
          <w:rFonts w:asciiTheme="majorHAnsi" w:eastAsia="MS Gothic" w:hAnsiTheme="majorHAnsi" w:cstheme="majorHAnsi"/>
          <w:b/>
          <w:bCs/>
          <w:szCs w:val="24"/>
          <w:lang w:val="es"/>
        </w:rPr>
        <w:t>Carta complementaria</w:t>
      </w:r>
      <w:bookmarkEnd w:id="230"/>
      <w:bookmarkEnd w:id="231"/>
      <w:bookmarkEnd w:id="232"/>
      <w:bookmarkEnd w:id="233"/>
      <w:bookmarkEnd w:id="234"/>
      <w:bookmarkEnd w:id="235"/>
      <w:bookmarkEnd w:id="236"/>
      <w:bookmarkEnd w:id="237"/>
      <w:bookmarkEnd w:id="238"/>
    </w:p>
    <w:p w14:paraId="51DE7FF9" w14:textId="1405FAF5"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sz w:val="24"/>
          <w:szCs w:val="20"/>
          <w:lang w:val="es-ES"/>
        </w:rPr>
      </w:pPr>
      <w:r>
        <w:rPr>
          <w:rFonts w:asciiTheme="majorHAnsi" w:eastAsia="Calibri" w:hAnsiTheme="majorHAnsi" w:cstheme="majorHAnsi"/>
          <w:lang w:val="es"/>
        </w:rPr>
        <w:t xml:space="preserve"> </w:t>
      </w:r>
      <w:r>
        <w:rPr>
          <w:rFonts w:asciiTheme="majorHAnsi" w:eastAsia="Calibri" w:hAnsiTheme="majorHAnsi" w:cstheme="majorHAnsi"/>
          <w:noProof/>
          <w:sz w:val="24"/>
          <w:szCs w:val="20"/>
          <w:lang w:val="es"/>
        </w:rPr>
        <w:t xml:space="preserve">El auditor puede elaborar, en cualquier momento durante el proceso de auditoría, una carta complementaria si considera que el Fondo Mundial debe ser informado de hechos y asuntos que son urgentes, muy poco habituales o de particular interés e </w:t>
      </w:r>
      <w:r w:rsidR="005E0A7E">
        <w:rPr>
          <w:rFonts w:asciiTheme="majorHAnsi" w:eastAsia="Calibri" w:hAnsiTheme="majorHAnsi" w:cstheme="majorHAnsi"/>
          <w:noProof/>
          <w:sz w:val="24"/>
          <w:szCs w:val="20"/>
          <w:lang w:val="es"/>
        </w:rPr>
        <w:t>materialidad</w:t>
      </w:r>
      <w:r>
        <w:rPr>
          <w:rFonts w:asciiTheme="majorHAnsi" w:eastAsia="Calibri" w:hAnsiTheme="majorHAnsi" w:cstheme="majorHAnsi"/>
          <w:noProof/>
          <w:sz w:val="24"/>
          <w:szCs w:val="20"/>
          <w:lang w:val="es"/>
        </w:rPr>
        <w:t xml:space="preserve"> para el Fondo Mundial. </w:t>
      </w:r>
    </w:p>
    <w:p w14:paraId="5FE04CEB"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noProof/>
          <w:lang w:val="es"/>
        </w:rPr>
        <w:t xml:space="preserve">Por ejemplo, este podría ser el caso de cualquier fraude o irregularidad </w:t>
      </w:r>
      <w:r>
        <w:rPr>
          <w:rFonts w:asciiTheme="majorHAnsi" w:eastAsia="Calibri" w:hAnsiTheme="majorHAnsi" w:cstheme="majorHAnsi"/>
          <w:lang w:val="es"/>
        </w:rPr>
        <w:t>que se hayan producido o que es probable que se produzcan. El Fondo Mundial decidirá si adopta medidas de seguimiento que incluyan, si procede, poner en marcha una investigación a cargo de la Oficina del Inspector General.</w:t>
      </w:r>
    </w:p>
    <w:p w14:paraId="3AF3CEEE" w14:textId="77777777" w:rsidR="00382C10" w:rsidRPr="005819FD" w:rsidRDefault="00382C10" w:rsidP="00382C10">
      <w:pPr>
        <w:spacing w:after="120" w:line="240" w:lineRule="auto"/>
        <w:jc w:val="both"/>
        <w:rPr>
          <w:rFonts w:asciiTheme="majorHAnsi" w:eastAsia="MS Mincho" w:hAnsiTheme="majorHAnsi" w:cstheme="majorHAnsi"/>
          <w:b/>
          <w:i/>
          <w:sz w:val="6"/>
          <w:szCs w:val="6"/>
          <w:highlight w:val="yellow"/>
          <w:lang w:val="es-ES"/>
        </w:rPr>
      </w:pPr>
    </w:p>
    <w:p w14:paraId="36564818" w14:textId="5D007E84" w:rsidR="00382C10" w:rsidRPr="007D0506"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rPr>
      </w:pPr>
      <w:bookmarkStart w:id="239" w:name="_Toc5026430"/>
      <w:bookmarkStart w:id="240" w:name="_Toc19971629"/>
      <w:bookmarkStart w:id="241" w:name="_Toc19971795"/>
      <w:bookmarkStart w:id="242" w:name="_Toc19971961"/>
      <w:bookmarkStart w:id="243" w:name="_Toc19972127"/>
      <w:bookmarkStart w:id="244" w:name="_Toc19972293"/>
      <w:bookmarkStart w:id="245" w:name="_Toc19972459"/>
      <w:bookmarkStart w:id="246" w:name="_Toc20466653"/>
      <w:bookmarkStart w:id="247" w:name="_Toc104292657"/>
      <w:r>
        <w:rPr>
          <w:rFonts w:asciiTheme="majorHAnsi" w:eastAsia="MS Gothic" w:hAnsiTheme="majorHAnsi" w:cstheme="majorHAnsi"/>
          <w:b/>
          <w:bCs/>
          <w:szCs w:val="24"/>
          <w:lang w:val="es"/>
        </w:rPr>
        <w:t>Memorando informativo ('</w:t>
      </w:r>
      <w:proofErr w:type="spellStart"/>
      <w:r>
        <w:rPr>
          <w:rFonts w:asciiTheme="majorHAnsi" w:eastAsia="MS Gothic" w:hAnsiTheme="majorHAnsi" w:cstheme="majorHAnsi"/>
          <w:b/>
          <w:bCs/>
          <w:szCs w:val="24"/>
          <w:lang w:val="es"/>
        </w:rPr>
        <w:t>Aide</w:t>
      </w:r>
      <w:proofErr w:type="spellEnd"/>
      <w:r>
        <w:rPr>
          <w:rFonts w:asciiTheme="majorHAnsi" w:eastAsia="MS Gothic" w:hAnsiTheme="majorHAnsi" w:cstheme="majorHAnsi"/>
          <w:b/>
          <w:bCs/>
          <w:szCs w:val="24"/>
          <w:lang w:val="es"/>
        </w:rPr>
        <w:t xml:space="preserve"> </w:t>
      </w:r>
      <w:proofErr w:type="spellStart"/>
      <w:r>
        <w:rPr>
          <w:rFonts w:asciiTheme="majorHAnsi" w:eastAsia="MS Gothic" w:hAnsiTheme="majorHAnsi" w:cstheme="majorHAnsi"/>
          <w:b/>
          <w:bCs/>
          <w:szCs w:val="24"/>
          <w:lang w:val="es"/>
        </w:rPr>
        <w:t>Mémoire</w:t>
      </w:r>
      <w:proofErr w:type="spellEnd"/>
      <w:r>
        <w:rPr>
          <w:rFonts w:asciiTheme="majorHAnsi" w:eastAsia="MS Gothic" w:hAnsiTheme="majorHAnsi" w:cstheme="majorHAnsi"/>
          <w:b/>
          <w:bCs/>
          <w:szCs w:val="24"/>
          <w:lang w:val="es"/>
        </w:rPr>
        <w:t>')</w:t>
      </w:r>
      <w:bookmarkEnd w:id="239"/>
      <w:bookmarkEnd w:id="240"/>
      <w:bookmarkEnd w:id="241"/>
      <w:bookmarkEnd w:id="242"/>
      <w:bookmarkEnd w:id="243"/>
      <w:bookmarkEnd w:id="244"/>
      <w:bookmarkEnd w:id="245"/>
      <w:bookmarkEnd w:id="246"/>
      <w:bookmarkEnd w:id="247"/>
    </w:p>
    <w:p w14:paraId="27188D13" w14:textId="632727A5" w:rsidR="00382C10" w:rsidRPr="005819FD" w:rsidRDefault="00382C10" w:rsidP="00382C10">
      <w:pPr>
        <w:numPr>
          <w:ilvl w:val="0"/>
          <w:numId w:val="36"/>
        </w:numPr>
        <w:spacing w:before="0" w:after="120" w:line="240" w:lineRule="auto"/>
        <w:jc w:val="both"/>
        <w:rPr>
          <w:rFonts w:asciiTheme="majorHAnsi" w:eastAsia="Calibri" w:hAnsiTheme="majorHAnsi" w:cstheme="majorHAnsi"/>
          <w:noProof/>
          <w:sz w:val="24"/>
          <w:szCs w:val="20"/>
          <w:lang w:val="es-ES"/>
        </w:rPr>
      </w:pPr>
      <w:r>
        <w:rPr>
          <w:rFonts w:asciiTheme="majorHAnsi" w:eastAsia="Calibri" w:hAnsiTheme="majorHAnsi" w:cstheme="majorHAnsi"/>
          <w:noProof/>
          <w:sz w:val="24"/>
          <w:szCs w:val="20"/>
          <w:lang w:val="es"/>
        </w:rPr>
        <w:t>El auditor redactará un memorando informativo o el informe provisional para la sesión de clausura que proporcionará las principales conclusiones, los dictámenes de auditoría provisionales resultantes y las recomendaciones para su análisis. El Receptor Principal debe enviar una copia del memorando o del informe provisional al Fondo Mundial.</w:t>
      </w:r>
    </w:p>
    <w:p w14:paraId="73E8C8E6" w14:textId="77777777" w:rsidR="00382C10" w:rsidRPr="005819FD" w:rsidRDefault="00382C10" w:rsidP="00382C10">
      <w:pPr>
        <w:spacing w:before="0" w:after="120" w:line="240" w:lineRule="auto"/>
        <w:rPr>
          <w:rFonts w:asciiTheme="majorHAnsi" w:eastAsia="MS Mincho" w:hAnsiTheme="majorHAnsi" w:cstheme="majorHAnsi"/>
          <w:szCs w:val="24"/>
          <w:lang w:val="es-ES"/>
        </w:rPr>
      </w:pPr>
    </w:p>
    <w:p w14:paraId="447005D5" w14:textId="4AAE5AE4" w:rsidR="00382C10" w:rsidRPr="005819FD"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lang w:val="es-ES"/>
        </w:rPr>
      </w:pPr>
      <w:bookmarkStart w:id="248" w:name="_Toc5026431"/>
      <w:bookmarkStart w:id="249" w:name="_Toc19971630"/>
      <w:bookmarkStart w:id="250" w:name="_Toc19971796"/>
      <w:bookmarkStart w:id="251" w:name="_Toc19971962"/>
      <w:bookmarkStart w:id="252" w:name="_Toc19972128"/>
      <w:bookmarkStart w:id="253" w:name="_Toc19972294"/>
      <w:bookmarkStart w:id="254" w:name="_Toc19972460"/>
      <w:bookmarkStart w:id="255" w:name="_Toc20466654"/>
      <w:bookmarkStart w:id="256" w:name="_Toc104292658"/>
      <w:r>
        <w:rPr>
          <w:rFonts w:asciiTheme="majorHAnsi" w:eastAsia="MS Gothic" w:hAnsiTheme="majorHAnsi" w:cstheme="majorHAnsi"/>
          <w:b/>
          <w:bCs/>
          <w:szCs w:val="24"/>
          <w:lang w:val="es"/>
        </w:rPr>
        <w:t>Reunión de clausura de la auditoría en el país</w:t>
      </w:r>
      <w:bookmarkEnd w:id="248"/>
      <w:bookmarkEnd w:id="249"/>
      <w:bookmarkEnd w:id="250"/>
      <w:bookmarkEnd w:id="251"/>
      <w:bookmarkEnd w:id="252"/>
      <w:bookmarkEnd w:id="253"/>
      <w:bookmarkEnd w:id="254"/>
      <w:bookmarkEnd w:id="255"/>
      <w:bookmarkEnd w:id="256"/>
    </w:p>
    <w:p w14:paraId="189C93F9" w14:textId="6E156CA8"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El auditor debe organizar una reunión de clausura con el Receptor Principal. </w:t>
      </w:r>
      <w:r>
        <w:rPr>
          <w:rFonts w:asciiTheme="majorHAnsi" w:eastAsia="Calibri" w:hAnsiTheme="majorHAnsi" w:cstheme="majorHAnsi"/>
          <w:noProof/>
          <w:lang w:val="es"/>
        </w:rPr>
        <w:t>El propósito de esta reunión es analizar el</w:t>
      </w:r>
      <w:r>
        <w:rPr>
          <w:rFonts w:asciiTheme="majorHAnsi" w:eastAsia="Calibri" w:hAnsiTheme="majorHAnsi" w:cstheme="majorHAnsi"/>
          <w:lang w:val="es"/>
        </w:rPr>
        <w:t xml:space="preserve"> memorando informativo o el informe provisional y obtener la confirmación y los comentarios iniciales del Receptor Principal con respecto a las conclusiones, opiniones y recomendaciones del auditor. El auditor y el Receptor Principal pueden </w:t>
      </w:r>
      <w:r>
        <w:rPr>
          <w:rFonts w:asciiTheme="majorHAnsi" w:eastAsia="Calibri" w:hAnsiTheme="majorHAnsi" w:cstheme="majorHAnsi"/>
          <w:noProof/>
          <w:lang w:val="es"/>
        </w:rPr>
        <w:t>acordar</w:t>
      </w:r>
      <w:r>
        <w:rPr>
          <w:rFonts w:asciiTheme="majorHAnsi" w:eastAsia="Calibri" w:hAnsiTheme="majorHAnsi" w:cstheme="majorHAnsi"/>
          <w:lang w:val="es"/>
        </w:rPr>
        <w:t xml:space="preserve"> qué información pendiente debe aportar el Receptor Principal y, cuando proceda, un plazo para su presentación. </w:t>
      </w:r>
    </w:p>
    <w:p w14:paraId="0F472762" w14:textId="557DC36E" w:rsidR="00382C10" w:rsidRPr="005819FD" w:rsidRDefault="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A petición del Equipo de País del Fondo Mundial, el auditor también pondrá en conocimiento del Mecanismo de Coordinación de País las conclusiones de la auditoría. El Agente Local del Fondo, a petición del Fondo Mundial, también debe ser invitado a participar en esta reunión. Para los países enfocados, la asistencia del ALF es obligatoria.</w:t>
      </w:r>
    </w:p>
    <w:p w14:paraId="37BE80E4" w14:textId="15EE88F0" w:rsidR="00382C10" w:rsidRPr="00382C10" w:rsidRDefault="00DC4870" w:rsidP="00A30A41">
      <w:pPr>
        <w:keepNext/>
        <w:keepLines/>
        <w:spacing w:before="240" w:after="120" w:line="240" w:lineRule="auto"/>
        <w:ind w:left="360"/>
        <w:outlineLvl w:val="0"/>
        <w:rPr>
          <w:rFonts w:asciiTheme="majorHAnsi" w:eastAsia="MS Gothic" w:hAnsiTheme="majorHAnsi" w:cstheme="majorHAnsi"/>
          <w:b/>
          <w:bCs/>
          <w:noProof/>
          <w:color w:val="000000"/>
          <w:sz w:val="24"/>
          <w:szCs w:val="28"/>
        </w:rPr>
      </w:pPr>
      <w:bookmarkStart w:id="257" w:name="_Toc5026433"/>
      <w:bookmarkStart w:id="258" w:name="_Toc19971632"/>
      <w:bookmarkStart w:id="259" w:name="_Toc19971798"/>
      <w:bookmarkStart w:id="260" w:name="_Toc19971964"/>
      <w:bookmarkStart w:id="261" w:name="_Toc19972130"/>
      <w:bookmarkStart w:id="262" w:name="_Toc19972296"/>
      <w:bookmarkStart w:id="263" w:name="_Toc19972462"/>
      <w:bookmarkStart w:id="264" w:name="_Toc20466656"/>
      <w:bookmarkStart w:id="265" w:name="_Toc104292659"/>
      <w:r>
        <w:rPr>
          <w:rFonts w:asciiTheme="majorHAnsi" w:eastAsia="MS Gothic" w:hAnsiTheme="majorHAnsi" w:cstheme="majorHAnsi"/>
          <w:b/>
          <w:bCs/>
          <w:noProof/>
          <w:color w:val="000000"/>
          <w:sz w:val="24"/>
          <w:szCs w:val="28"/>
          <w:lang w:val="es"/>
        </w:rPr>
        <w:t>10 Carta de gestión</w:t>
      </w:r>
      <w:bookmarkEnd w:id="257"/>
      <w:bookmarkEnd w:id="258"/>
      <w:bookmarkEnd w:id="259"/>
      <w:bookmarkEnd w:id="260"/>
      <w:bookmarkEnd w:id="261"/>
      <w:bookmarkEnd w:id="262"/>
      <w:bookmarkEnd w:id="263"/>
      <w:bookmarkEnd w:id="264"/>
      <w:bookmarkEnd w:id="265"/>
    </w:p>
    <w:p w14:paraId="22637DB3" w14:textId="4C9BF709" w:rsidR="00382C10" w:rsidRPr="00A30A41" w:rsidRDefault="00382C10">
      <w:pPr>
        <w:numPr>
          <w:ilvl w:val="0"/>
          <w:numId w:val="36"/>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Además del informe de auditoría, el auditor elaborará una carta de gestión consolidando las conclusiones del Receptor Principal y los subreceptores clave. Los auditores deben utilizar la plantilla que figura en el anexo 4 para la carta de gestión y proporcionar la información solicitada en la estructura que se indica en esta. Algunos elementos clave son:</w:t>
      </w:r>
    </w:p>
    <w:p w14:paraId="32200CEE" w14:textId="77777777" w:rsidR="00192384" w:rsidRPr="005819FD" w:rsidRDefault="00192384"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En la portada de la carta de gestión debe señalarse claramente que se trata de un documento confidencial y debe tratarse como tal. </w:t>
      </w:r>
    </w:p>
    <w:p w14:paraId="129CE134" w14:textId="77777777" w:rsidR="00192384" w:rsidRPr="005819FD" w:rsidRDefault="00192384"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La carta de gestión debe especificar que el auditor reconoce y acepta que la carta de gestión se compartirá con el Fondo Mundial y el Agente Local del Fondo (de forma confidencial). </w:t>
      </w:r>
    </w:p>
    <w:p w14:paraId="17B77F8F" w14:textId="553F9BEF" w:rsidR="004735F7" w:rsidRPr="005819FD" w:rsidRDefault="004735F7" w:rsidP="00A30A41">
      <w:pPr>
        <w:numPr>
          <w:ilvl w:val="1"/>
          <w:numId w:val="44"/>
        </w:numPr>
        <w:autoSpaceDE w:val="0"/>
        <w:autoSpaceDN w:val="0"/>
        <w:adjustRightInd w:val="0"/>
        <w:spacing w:before="0" w:after="120" w:line="240" w:lineRule="auto"/>
        <w:jc w:val="both"/>
        <w:rPr>
          <w:rFonts w:asciiTheme="majorHAnsi" w:eastAsia="Calibri" w:hAnsiTheme="majorHAnsi" w:cstheme="majorHAnsi"/>
          <w:color w:val="0000FF"/>
          <w:u w:val="single"/>
          <w:lang w:val="es-ES"/>
        </w:rPr>
      </w:pPr>
      <w:r>
        <w:rPr>
          <w:rFonts w:asciiTheme="majorHAnsi" w:eastAsia="Calibri" w:hAnsiTheme="majorHAnsi" w:cstheme="majorHAnsi"/>
          <w:lang w:val="es"/>
        </w:rPr>
        <w:t>La carta de gestión debe utilizar un sistema de puntos de calificación en función del nivel de gravedad con arreglo a lo dispuesto en las</w:t>
      </w:r>
      <w:r>
        <w:rPr>
          <w:rFonts w:asciiTheme="majorHAnsi" w:eastAsia="Calibri" w:hAnsiTheme="majorHAnsi" w:cstheme="majorHAnsi"/>
          <w:noProof/>
          <w:lang w:val="es"/>
        </w:rPr>
        <w:t xml:space="preserve"> </w:t>
      </w:r>
      <w:hyperlink r:id="rId20" w:history="1">
        <w:r>
          <w:rPr>
            <w:rFonts w:asciiTheme="majorHAnsi" w:eastAsia="Calibri" w:hAnsiTheme="majorHAnsi" w:cstheme="majorHAnsi"/>
            <w:noProof/>
            <w:color w:val="0000FF"/>
            <w:u w:val="single"/>
            <w:lang w:val="es"/>
          </w:rPr>
          <w:t>Directrices sobre</w:t>
        </w:r>
        <w:r>
          <w:rPr>
            <w:rFonts w:asciiTheme="majorHAnsi" w:eastAsia="Calibri" w:hAnsiTheme="majorHAnsi" w:cstheme="majorHAnsi"/>
            <w:color w:val="0000FF"/>
            <w:u w:val="single"/>
            <w:lang w:val="es"/>
          </w:rPr>
          <w:t xml:space="preserve"> las auditorías anuales de los estados financieros del programa de subvenciones del Fondo Mundial.</w:t>
        </w:r>
      </w:hyperlink>
    </w:p>
    <w:p w14:paraId="1BBB6AD2" w14:textId="52854440" w:rsidR="009E5565" w:rsidRPr="005819FD" w:rsidRDefault="009E5565"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Para más orientación se deben consultar los siguientes recursos del Consejo de Normas Internacionales de Auditoría y Asesoramiento (IAASB):</w:t>
      </w:r>
    </w:p>
    <w:p w14:paraId="45FF5BD6" w14:textId="5D983B7E" w:rsidR="009E5565" w:rsidRPr="005819FD" w:rsidRDefault="002F128A" w:rsidP="00A30A41">
      <w:pPr>
        <w:numPr>
          <w:ilvl w:val="2"/>
          <w:numId w:val="44"/>
        </w:numPr>
        <w:autoSpaceDE w:val="0"/>
        <w:autoSpaceDN w:val="0"/>
        <w:adjustRightInd w:val="0"/>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lastRenderedPageBreak/>
        <w:t>Normas para comunicar problemas de la carta de gestión a los responsables de la gobernanza de una entidad: http://web.ifac.org/download/ISA_260_standalone_2009_Handbook.pdf</w:t>
      </w:r>
    </w:p>
    <w:p w14:paraId="0494085C" w14:textId="77777777" w:rsidR="009E5565" w:rsidRPr="005819FD" w:rsidRDefault="009E5565" w:rsidP="00A30A41">
      <w:pPr>
        <w:numPr>
          <w:ilvl w:val="3"/>
          <w:numId w:val="44"/>
        </w:numPr>
        <w:autoSpaceDE w:val="0"/>
        <w:autoSpaceDN w:val="0"/>
        <w:adjustRightInd w:val="0"/>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también las normas para informar de deficiencias en el control interno:</w:t>
      </w:r>
    </w:p>
    <w:p w14:paraId="3E115B02" w14:textId="77777777" w:rsidR="009E5565" w:rsidRPr="005819FD" w:rsidRDefault="009E5565" w:rsidP="00A30A41">
      <w:pPr>
        <w:numPr>
          <w:ilvl w:val="3"/>
          <w:numId w:val="44"/>
        </w:numPr>
        <w:autoSpaceDE w:val="0"/>
        <w:autoSpaceDN w:val="0"/>
        <w:adjustRightInd w:val="0"/>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http://web.ifac.org/download/ISA_265_standalone_2009_Handbook.pdf.</w:t>
      </w:r>
    </w:p>
    <w:p w14:paraId="5245F9E4" w14:textId="022B8C0F" w:rsidR="009E5565" w:rsidRPr="005819FD" w:rsidRDefault="009E5565">
      <w:pPr>
        <w:numPr>
          <w:ilvl w:val="2"/>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En el caso de auditores del sector público o del gobierno (es decir, la Institución Máxima de Auditoría), las directrices pueden extraerse de las normas de INTOSAI (véase el capítulo 4 del Código de Ética y Normas de Auditoría de INTOSAI, titulado Normas para la presentación de informes en auditorías gubernamentales, que se puede encontrar en </w:t>
      </w:r>
      <w:hyperlink r:id="rId21" w:history="1">
        <w:r>
          <w:rPr>
            <w:rStyle w:val="Hyperlink"/>
            <w:lang w:val="es"/>
          </w:rPr>
          <w:t>https://www.intosai.org/</w:t>
        </w:r>
      </w:hyperlink>
      <w:r>
        <w:rPr>
          <w:rFonts w:asciiTheme="majorHAnsi" w:eastAsia="Calibri" w:hAnsiTheme="majorHAnsi" w:cstheme="majorHAnsi"/>
          <w:lang w:val="es"/>
        </w:rPr>
        <w:t>)</w:t>
      </w:r>
    </w:p>
    <w:p w14:paraId="389BED9F" w14:textId="77777777" w:rsidR="00C85331" w:rsidRPr="005819FD" w:rsidRDefault="00C85331" w:rsidP="00A30A41">
      <w:pPr>
        <w:spacing w:before="0" w:after="120" w:line="240" w:lineRule="auto"/>
        <w:ind w:left="1800"/>
        <w:jc w:val="both"/>
        <w:rPr>
          <w:rFonts w:asciiTheme="majorHAnsi" w:eastAsia="Calibri" w:hAnsiTheme="majorHAnsi" w:cstheme="majorHAnsi"/>
          <w:lang w:val="es-ES"/>
        </w:rPr>
      </w:pPr>
    </w:p>
    <w:p w14:paraId="11EA7E4F" w14:textId="4AA67E30" w:rsidR="00382C10" w:rsidRPr="00382C10" w:rsidRDefault="00382C10" w:rsidP="00382C10">
      <w:pPr>
        <w:keepNext/>
        <w:keepLines/>
        <w:numPr>
          <w:ilvl w:val="1"/>
          <w:numId w:val="45"/>
        </w:numPr>
        <w:spacing w:before="0" w:after="120" w:line="240" w:lineRule="auto"/>
        <w:ind w:left="1080"/>
        <w:outlineLvl w:val="2"/>
        <w:rPr>
          <w:rFonts w:asciiTheme="majorHAnsi" w:eastAsia="MS Gothic" w:hAnsiTheme="majorHAnsi" w:cstheme="majorHAnsi"/>
          <w:b/>
          <w:bCs/>
          <w:szCs w:val="24"/>
        </w:rPr>
      </w:pPr>
      <w:bookmarkStart w:id="266" w:name="_Toc101550424"/>
      <w:bookmarkStart w:id="267" w:name="_Toc101541037"/>
      <w:bookmarkStart w:id="268" w:name="_Toc101540597"/>
      <w:bookmarkStart w:id="269" w:name="_Toc101540467"/>
      <w:bookmarkStart w:id="270" w:name="_Toc101540368"/>
      <w:bookmarkStart w:id="271" w:name="_Toc101540317"/>
      <w:bookmarkStart w:id="272" w:name="_Toc101540259"/>
      <w:bookmarkStart w:id="273" w:name="_Toc101540078"/>
      <w:bookmarkStart w:id="274" w:name="_Toc101539173"/>
      <w:bookmarkStart w:id="275" w:name="_Toc101538323"/>
      <w:bookmarkStart w:id="276" w:name="_Toc100821759"/>
      <w:bookmarkStart w:id="277" w:name="_Toc100560013"/>
      <w:bookmarkStart w:id="278" w:name="_Toc101550423"/>
      <w:bookmarkStart w:id="279" w:name="_Toc101541036"/>
      <w:bookmarkStart w:id="280" w:name="_Toc101540596"/>
      <w:bookmarkStart w:id="281" w:name="_Toc101540466"/>
      <w:bookmarkStart w:id="282" w:name="_Toc101540367"/>
      <w:bookmarkStart w:id="283" w:name="_Toc101540316"/>
      <w:bookmarkStart w:id="284" w:name="_Toc101540258"/>
      <w:bookmarkStart w:id="285" w:name="_Toc101540077"/>
      <w:bookmarkStart w:id="286" w:name="_Toc101539172"/>
      <w:bookmarkStart w:id="287" w:name="_Toc101538322"/>
      <w:bookmarkStart w:id="288" w:name="_Toc100821758"/>
      <w:bookmarkStart w:id="289" w:name="_Toc100560012"/>
      <w:bookmarkStart w:id="290" w:name="_Toc5026434"/>
      <w:bookmarkStart w:id="291" w:name="_Toc19971633"/>
      <w:bookmarkStart w:id="292" w:name="_Toc19971799"/>
      <w:bookmarkStart w:id="293" w:name="_Toc19971965"/>
      <w:bookmarkStart w:id="294" w:name="_Toc19972131"/>
      <w:bookmarkStart w:id="295" w:name="_Toc19972297"/>
      <w:bookmarkStart w:id="296" w:name="_Toc19972463"/>
      <w:bookmarkStart w:id="297" w:name="_Toc20466657"/>
      <w:bookmarkStart w:id="298" w:name="_Toc10429266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asciiTheme="majorHAnsi" w:hAnsiTheme="majorHAnsi" w:cstheme="majorHAnsi"/>
          <w:b/>
          <w:bCs/>
          <w:szCs w:val="24"/>
          <w:lang w:val="es"/>
        </w:rPr>
        <w:t>Marco de controles internos</w:t>
      </w:r>
      <w:r>
        <w:rPr>
          <w:rFonts w:asciiTheme="majorHAnsi" w:hAnsiTheme="majorHAnsi" w:cstheme="majorHAnsi"/>
          <w:vertAlign w:val="superscript"/>
          <w:lang w:val="es"/>
        </w:rPr>
        <w:footnoteReference w:id="17"/>
      </w:r>
      <w:bookmarkEnd w:id="290"/>
      <w:bookmarkEnd w:id="291"/>
      <w:bookmarkEnd w:id="292"/>
      <w:bookmarkEnd w:id="293"/>
      <w:bookmarkEnd w:id="294"/>
      <w:bookmarkEnd w:id="295"/>
      <w:bookmarkEnd w:id="296"/>
      <w:bookmarkEnd w:id="297"/>
      <w:bookmarkEnd w:id="298"/>
    </w:p>
    <w:p w14:paraId="48662DFD" w14:textId="073699AE"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La carta de gestión debe poner de relieve las deficiencias en el marco de control interno de la subvención señaladas con respecto a los procesos pertinentes. Para cada deficiencia, el auditor debe realizar una recomendación. Para los países centrales y de alto impacto que sean objeto de una auditoría provisional, se emitirá una carta de gestión relativa al marco de control interno. El auditor también debe incluir en la carta de gestión un resumen de los procedimientos de control del Receptor Principal.</w:t>
      </w:r>
    </w:p>
    <w:p w14:paraId="12FF0D2B"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El auditor debe realizar comentarios sobre los casos de incumplimiento en los registros, procedimientos, sistemas y controles contables que fueron detectados en el curso de la auditoría, con especial mención a los gastos no elegibles y a las deficiencias sistemáticas.</w:t>
      </w:r>
    </w:p>
    <w:p w14:paraId="5DA8DE52" w14:textId="54B262CE"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El auditor debe comunicar los problemas que hayan llamado su atención durante la auditoría y que pudieran tener una repercusión significativa en la ejecución y la sostenibilidad del programa de subvención en la carta de gestión que incluirá, como mínimo, las cinco secciones siguientes:</w:t>
      </w:r>
    </w:p>
    <w:p w14:paraId="3265D65E" w14:textId="1AB95E56" w:rsidR="00382C10" w:rsidRPr="005819FD" w:rsidRDefault="00382C10" w:rsidP="00382C10">
      <w:pPr>
        <w:numPr>
          <w:ilvl w:val="1"/>
          <w:numId w:val="35"/>
        </w:numPr>
        <w:spacing w:before="0" w:after="120" w:line="240" w:lineRule="auto"/>
        <w:ind w:left="648"/>
        <w:jc w:val="both"/>
        <w:rPr>
          <w:rFonts w:asciiTheme="majorHAnsi" w:eastAsia="Calibri" w:hAnsiTheme="majorHAnsi" w:cstheme="majorHAnsi"/>
          <w:lang w:val="es-ES"/>
        </w:rPr>
      </w:pPr>
      <w:r>
        <w:rPr>
          <w:rFonts w:asciiTheme="majorHAnsi" w:eastAsia="Calibri" w:hAnsiTheme="majorHAnsi" w:cstheme="majorHAnsi"/>
          <w:b/>
          <w:bCs/>
          <w:lang w:val="es"/>
        </w:rPr>
        <w:t>Control interno:</w:t>
      </w:r>
      <w:r>
        <w:rPr>
          <w:rFonts w:asciiTheme="majorHAnsi" w:eastAsia="Calibri" w:hAnsiTheme="majorHAnsi" w:cstheme="majorHAnsi"/>
          <w:lang w:val="es"/>
        </w:rPr>
        <w:t xml:space="preserve"> esta sección debe recoger todas las otras cuestiones clave de control interno señaladas por el auditor al realizar la revisión descrita en el alcance del trabajo, en particular, en las subcategorías siguientes a) gestión financiera, b) gestión del subreceptor c) gestión de programas d) gestión de existencias, e) controles generales de las tecnologías de información (ITGC), f) controles relacionados con la contratación de terceros por parte del Receptor Principal o del Fondo Mundial, incluida la revisión de los términos y condiciones de su participación y la observancia de estos.</w:t>
      </w:r>
    </w:p>
    <w:p w14:paraId="07DDA12E" w14:textId="77777777" w:rsidR="00382C10" w:rsidRPr="005819FD" w:rsidRDefault="00382C10" w:rsidP="00382C10">
      <w:pPr>
        <w:numPr>
          <w:ilvl w:val="1"/>
          <w:numId w:val="35"/>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b/>
          <w:bCs/>
          <w:lang w:val="es"/>
        </w:rPr>
        <w:t>Cumplimiento del acuerdo de subvención y de la legislación aplicable</w:t>
      </w:r>
      <w:r>
        <w:rPr>
          <w:rFonts w:asciiTheme="majorHAnsi" w:eastAsia="Calibri" w:hAnsiTheme="majorHAnsi" w:cstheme="majorHAnsi"/>
          <w:lang w:val="es"/>
        </w:rPr>
        <w:t xml:space="preserve">: esta sección debe destacar cualquier caso de incumplimiento del </w:t>
      </w:r>
      <w:r>
        <w:rPr>
          <w:rFonts w:asciiTheme="majorHAnsi" w:eastAsia="Calibri" w:hAnsiTheme="majorHAnsi" w:cstheme="majorHAnsi"/>
          <w:noProof/>
          <w:lang w:val="es"/>
        </w:rPr>
        <w:t>acuerdo de subvención pertinente que el auditor haya detectado en el transcurso de su trabajo para formar un dictamen de los estados financieros de una subvención con fines especiales (SPGFS)</w:t>
      </w:r>
      <w:r>
        <w:rPr>
          <w:rFonts w:asciiTheme="majorHAnsi" w:eastAsia="Calibri" w:hAnsiTheme="majorHAnsi" w:cstheme="majorHAnsi"/>
          <w:lang w:val="es"/>
        </w:rPr>
        <w:t xml:space="preserve"> o confirmar que no se ha detectado ningún caso en la muestra analizada. Esto implica que el auditor debe asegurarse de que los gastos se corresponden con la actividad aprobada en el presupuesto detallado para el período pertinente que se está revisando, así como con cualquier ajuste presupuestario posterior, incluidas las aprobaciones necesarias para dichas reasignaciones presupuestarias.</w:t>
      </w:r>
    </w:p>
    <w:p w14:paraId="5C7D0AB2" w14:textId="77777777" w:rsidR="00382C10" w:rsidRPr="005819FD" w:rsidRDefault="00382C10" w:rsidP="00382C10">
      <w:pPr>
        <w:numPr>
          <w:ilvl w:val="1"/>
          <w:numId w:val="35"/>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b/>
          <w:bCs/>
          <w:lang w:val="es"/>
        </w:rPr>
        <w:t>Optimización de recursos</w:t>
      </w:r>
      <w:r>
        <w:rPr>
          <w:rFonts w:asciiTheme="majorHAnsi" w:eastAsia="Calibri" w:hAnsiTheme="majorHAnsi" w:cstheme="majorHAnsi"/>
          <w:lang w:val="es"/>
        </w:rPr>
        <w:t xml:space="preserve">: esta sección debe recoger la opinión del auditor sobre las consideraciones del Receptor Principal y los subreceptores con respecto a la economía y la eficiencia como parte de la revisión de los gastos de subvención realizada por el auditor. El Equipo de País del Fondo Mundial puede presentar una solicitud para que el auditor preste este servicio adicional. Todas las cuestiones señaladas en torno a la optimización de recursos </w:t>
      </w:r>
      <w:r>
        <w:rPr>
          <w:rFonts w:asciiTheme="majorHAnsi" w:eastAsia="Calibri" w:hAnsiTheme="majorHAnsi" w:cstheme="majorHAnsi"/>
          <w:lang w:val="es"/>
        </w:rPr>
        <w:lastRenderedPageBreak/>
        <w:t xml:space="preserve">(deficiencia en el control, pérdida </w:t>
      </w:r>
      <w:r>
        <w:rPr>
          <w:rFonts w:asciiTheme="majorHAnsi" w:eastAsia="Calibri" w:hAnsiTheme="majorHAnsi" w:cstheme="majorHAnsi"/>
          <w:noProof/>
          <w:lang w:val="es"/>
        </w:rPr>
        <w:t>estimada</w:t>
      </w:r>
      <w:r>
        <w:rPr>
          <w:rFonts w:asciiTheme="majorHAnsi" w:eastAsia="Calibri" w:hAnsiTheme="majorHAnsi" w:cstheme="majorHAnsi"/>
          <w:lang w:val="es"/>
        </w:rPr>
        <w:t xml:space="preserve"> en la que se ha incurrido como consecuencia de un proceso </w:t>
      </w:r>
      <w:r>
        <w:rPr>
          <w:rFonts w:asciiTheme="majorHAnsi" w:eastAsia="Calibri" w:hAnsiTheme="majorHAnsi" w:cstheme="majorHAnsi"/>
          <w:noProof/>
          <w:lang w:val="es"/>
        </w:rPr>
        <w:t>ineficaz</w:t>
      </w:r>
      <w:r>
        <w:rPr>
          <w:rFonts w:asciiTheme="majorHAnsi" w:eastAsia="Calibri" w:hAnsiTheme="majorHAnsi" w:cstheme="majorHAnsi"/>
          <w:lang w:val="es"/>
        </w:rPr>
        <w:t xml:space="preserve"> y otras) deben </w:t>
      </w:r>
      <w:r>
        <w:rPr>
          <w:rFonts w:asciiTheme="majorHAnsi" w:eastAsia="Calibri" w:hAnsiTheme="majorHAnsi" w:cstheme="majorHAnsi"/>
          <w:noProof/>
          <w:lang w:val="es"/>
        </w:rPr>
        <w:t>indicarse</w:t>
      </w:r>
      <w:r>
        <w:rPr>
          <w:rFonts w:asciiTheme="majorHAnsi" w:eastAsia="Calibri" w:hAnsiTheme="majorHAnsi" w:cstheme="majorHAnsi"/>
          <w:lang w:val="es"/>
        </w:rPr>
        <w:t xml:space="preserve"> en esta sección de la carta de gestión.</w:t>
      </w:r>
    </w:p>
    <w:p w14:paraId="44103637" w14:textId="5A855452" w:rsidR="00382C10" w:rsidRPr="005819FD" w:rsidRDefault="00382C10" w:rsidP="00382C10">
      <w:pPr>
        <w:numPr>
          <w:ilvl w:val="1"/>
          <w:numId w:val="35"/>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b/>
          <w:bCs/>
          <w:lang w:val="es"/>
        </w:rPr>
        <w:t>Gastos no elegibles e injustificados</w:t>
      </w:r>
      <w:r>
        <w:rPr>
          <w:rFonts w:asciiTheme="majorHAnsi" w:eastAsia="Calibri" w:hAnsiTheme="majorHAnsi" w:cstheme="majorHAnsi"/>
          <w:lang w:val="es"/>
        </w:rPr>
        <w:t>: esta sección debe proporcionar una lista de gastos no conformes detectados por los auditores durante su trabajo. Los auditores deben proporcionar al Fondo Mundial la versión electrónica, legible por máquina.</w:t>
      </w:r>
    </w:p>
    <w:p w14:paraId="3CFCB6DE" w14:textId="3457C1ED" w:rsidR="00382C10" w:rsidRPr="005819FD" w:rsidRDefault="00382C10" w:rsidP="00382C10">
      <w:pPr>
        <w:numPr>
          <w:ilvl w:val="1"/>
          <w:numId w:val="35"/>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b/>
          <w:bCs/>
          <w:lang w:val="es"/>
        </w:rPr>
        <w:t>Seguimiento del informe de auditoría anterior:</w:t>
      </w:r>
      <w:r>
        <w:rPr>
          <w:rFonts w:asciiTheme="majorHAnsi" w:eastAsia="Calibri" w:hAnsiTheme="majorHAnsi" w:cstheme="majorHAnsi"/>
          <w:lang w:val="es"/>
        </w:rPr>
        <w:t xml:space="preserve"> en esta sección, el auditor informará sobre el estado de ejecución de las recomendaciones incluidas en los informes de auditoría previos.</w:t>
      </w:r>
    </w:p>
    <w:p w14:paraId="1403233B" w14:textId="04965F5A" w:rsidR="00382C10" w:rsidRPr="00382C10" w:rsidRDefault="00382C10" w:rsidP="00382C10">
      <w:pPr>
        <w:keepNext/>
        <w:keepLines/>
        <w:numPr>
          <w:ilvl w:val="1"/>
          <w:numId w:val="45"/>
        </w:numPr>
        <w:spacing w:before="0" w:after="120" w:line="240" w:lineRule="auto"/>
        <w:ind w:left="1080"/>
        <w:outlineLvl w:val="2"/>
        <w:rPr>
          <w:rFonts w:asciiTheme="majorHAnsi" w:eastAsia="MS Gothic" w:hAnsiTheme="majorHAnsi" w:cstheme="majorHAnsi"/>
          <w:b/>
          <w:bCs/>
          <w:szCs w:val="24"/>
        </w:rPr>
      </w:pPr>
      <w:bookmarkStart w:id="299" w:name="_Toc101550426"/>
      <w:bookmarkStart w:id="300" w:name="_Toc101541039"/>
      <w:bookmarkStart w:id="301" w:name="_Toc101540599"/>
      <w:bookmarkStart w:id="302" w:name="_Toc101540469"/>
      <w:bookmarkStart w:id="303" w:name="_Toc101540370"/>
      <w:bookmarkStart w:id="304" w:name="_Toc101540319"/>
      <w:bookmarkStart w:id="305" w:name="_Toc101540261"/>
      <w:bookmarkStart w:id="306" w:name="_Toc101540080"/>
      <w:bookmarkStart w:id="307" w:name="_Toc101539175"/>
      <w:bookmarkStart w:id="308" w:name="_Toc101538325"/>
      <w:bookmarkStart w:id="309" w:name="_Toc100821761"/>
      <w:bookmarkStart w:id="310" w:name="_Toc100560015"/>
      <w:bookmarkStart w:id="311" w:name="_Toc5026435"/>
      <w:bookmarkStart w:id="312" w:name="_Toc19971634"/>
      <w:bookmarkStart w:id="313" w:name="_Toc19971800"/>
      <w:bookmarkStart w:id="314" w:name="_Toc19971966"/>
      <w:bookmarkStart w:id="315" w:name="_Toc19972132"/>
      <w:bookmarkStart w:id="316" w:name="_Toc19972298"/>
      <w:bookmarkStart w:id="317" w:name="_Toc19972464"/>
      <w:bookmarkStart w:id="318" w:name="_Toc20466658"/>
      <w:bookmarkStart w:id="319" w:name="_Toc104292661"/>
      <w:bookmarkEnd w:id="299"/>
      <w:bookmarkEnd w:id="300"/>
      <w:bookmarkEnd w:id="301"/>
      <w:bookmarkEnd w:id="302"/>
      <w:bookmarkEnd w:id="303"/>
      <w:bookmarkEnd w:id="304"/>
      <w:bookmarkEnd w:id="305"/>
      <w:bookmarkEnd w:id="306"/>
      <w:bookmarkEnd w:id="307"/>
      <w:bookmarkEnd w:id="308"/>
      <w:bookmarkEnd w:id="309"/>
      <w:bookmarkEnd w:id="310"/>
      <w:r>
        <w:rPr>
          <w:rFonts w:asciiTheme="majorHAnsi" w:eastAsia="MS Gothic" w:hAnsiTheme="majorHAnsi" w:cstheme="majorHAnsi"/>
          <w:b/>
          <w:bCs/>
          <w:szCs w:val="24"/>
          <w:lang w:val="es"/>
        </w:rPr>
        <w:t>Gestión de riesgos</w:t>
      </w:r>
      <w:bookmarkEnd w:id="311"/>
      <w:bookmarkEnd w:id="312"/>
      <w:bookmarkEnd w:id="313"/>
      <w:bookmarkEnd w:id="314"/>
      <w:bookmarkEnd w:id="315"/>
      <w:bookmarkEnd w:id="316"/>
      <w:bookmarkEnd w:id="317"/>
      <w:bookmarkEnd w:id="318"/>
      <w:bookmarkEnd w:id="319"/>
    </w:p>
    <w:p w14:paraId="47D8044F" w14:textId="10AD21B5" w:rsidR="00382C10" w:rsidRPr="00382C10" w:rsidRDefault="00382C10" w:rsidP="00382C10">
      <w:pPr>
        <w:numPr>
          <w:ilvl w:val="0"/>
          <w:numId w:val="36"/>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En la sección de gestión financiera de la carta de gestión, se espera que el auditor categorice el nivel de riesgo de cada una de las seis subcategorías de riesgos financieros definidos por el Fondo Mundial. El auditor debe proporcionar una tabla resumida donde muestre el nivel de riesgo percibido en cualquiera de los niveles definidos por el Fondo Mundial: bajo, moderado, alto, muy alto, así como las explicaciones relacionadas. Las seis categorías son:</w:t>
      </w:r>
    </w:p>
    <w:p w14:paraId="452A291C" w14:textId="77777777" w:rsidR="00382C10" w:rsidRPr="005819FD" w:rsidRDefault="00382C10"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Flujo inadecuado de las disposiciones de fondos; </w:t>
      </w:r>
    </w:p>
    <w:p w14:paraId="7D77EBEA" w14:textId="77777777" w:rsidR="00382C10" w:rsidRPr="00382C10" w:rsidRDefault="00382C10" w:rsidP="00A30A41">
      <w:pPr>
        <w:numPr>
          <w:ilvl w:val="1"/>
          <w:numId w:val="4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 xml:space="preserve">Controles internos inadecuados; </w:t>
      </w:r>
    </w:p>
    <w:p w14:paraId="7CA25A8D" w14:textId="77777777" w:rsidR="00382C10" w:rsidRPr="005819FD" w:rsidRDefault="00382C10"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Fraude financiero, corrupción y robo; </w:t>
      </w:r>
    </w:p>
    <w:p w14:paraId="7B78DED0" w14:textId="77777777" w:rsidR="00382C10" w:rsidRPr="005819FD" w:rsidRDefault="00382C10"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Comunicación inadecuada de la información financiera y contable; </w:t>
      </w:r>
    </w:p>
    <w:p w14:paraId="6708BAAF" w14:textId="77777777" w:rsidR="00382C10" w:rsidRPr="005819FD" w:rsidRDefault="00382C10" w:rsidP="00A30A41">
      <w:pPr>
        <w:numPr>
          <w:ilvl w:val="1"/>
          <w:numId w:val="44"/>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Optimización limitada de los recursos; y</w:t>
      </w:r>
    </w:p>
    <w:p w14:paraId="54EEC5C8" w14:textId="77777777" w:rsidR="00382C10" w:rsidRPr="00382C10" w:rsidRDefault="00382C10" w:rsidP="00A30A41">
      <w:pPr>
        <w:numPr>
          <w:ilvl w:val="1"/>
          <w:numId w:val="4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Disposiciones de auditoría inadecuadas.</w:t>
      </w:r>
    </w:p>
    <w:p w14:paraId="483C5FDE" w14:textId="4C9824C8" w:rsidR="00382C10" w:rsidRPr="005819FD" w:rsidRDefault="00382C10" w:rsidP="00382C10">
      <w:pPr>
        <w:numPr>
          <w:ilvl w:val="0"/>
          <w:numId w:val="36"/>
        </w:numPr>
        <w:spacing w:before="0" w:after="120" w:line="240" w:lineRule="auto"/>
        <w:jc w:val="both"/>
        <w:rPr>
          <w:rFonts w:asciiTheme="majorHAnsi" w:eastAsia="Times New Roman" w:hAnsiTheme="majorHAnsi" w:cstheme="majorHAnsi"/>
          <w:color w:val="000000"/>
          <w:szCs w:val="24"/>
          <w:lang w:val="es-ES"/>
        </w:rPr>
      </w:pPr>
      <w:r>
        <w:rPr>
          <w:rFonts w:asciiTheme="majorHAnsi" w:eastAsia="MS Gothic" w:hAnsiTheme="majorHAnsi" w:cstheme="majorHAnsi"/>
          <w:lang w:val="es"/>
        </w:rPr>
        <w:t>Las definiciones de cada una de estas categorías figuran en</w:t>
      </w:r>
      <w:r>
        <w:rPr>
          <w:rFonts w:asciiTheme="majorHAnsi" w:eastAsia="MS Gothic" w:hAnsiTheme="majorHAnsi" w:cstheme="majorHAnsi"/>
          <w:i/>
          <w:iCs/>
          <w:color w:val="000000"/>
          <w:szCs w:val="24"/>
          <w:lang w:val="es"/>
        </w:rPr>
        <w:t xml:space="preserve"> </w:t>
      </w:r>
      <w:hyperlink r:id="rId22" w:history="1">
        <w:r>
          <w:rPr>
            <w:rFonts w:asciiTheme="majorHAnsi" w:eastAsia="MS Gothic" w:hAnsiTheme="majorHAnsi" w:cstheme="majorHAnsi"/>
            <w:i/>
            <w:iCs/>
            <w:color w:val="0000FF"/>
            <w:sz w:val="24"/>
            <w:szCs w:val="24"/>
            <w:u w:val="single"/>
            <w:lang w:val="es"/>
          </w:rPr>
          <w:t>las directrices sobre la gestión de riesgos financieros del Fondo Mundial</w:t>
        </w:r>
      </w:hyperlink>
      <w:r>
        <w:rPr>
          <w:rFonts w:asciiTheme="majorHAnsi" w:eastAsia="MS Gothic" w:hAnsiTheme="majorHAnsi" w:cstheme="majorHAnsi"/>
          <w:i/>
          <w:iCs/>
          <w:color w:val="0000FF"/>
          <w:szCs w:val="24"/>
          <w:u w:val="single"/>
          <w:vertAlign w:val="superscript"/>
          <w:lang w:val="es"/>
        </w:rPr>
        <w:footnoteReference w:id="18"/>
      </w:r>
      <w:r>
        <w:rPr>
          <w:rFonts w:asciiTheme="majorHAnsi" w:eastAsia="MS Gothic" w:hAnsiTheme="majorHAnsi" w:cstheme="majorHAnsi"/>
          <w:color w:val="000000"/>
          <w:szCs w:val="24"/>
          <w:lang w:val="es"/>
        </w:rPr>
        <w:t xml:space="preserve">. Se </w:t>
      </w:r>
      <w:r>
        <w:rPr>
          <w:rFonts w:asciiTheme="majorHAnsi" w:eastAsia="MS Gothic" w:hAnsiTheme="majorHAnsi" w:cstheme="majorHAnsi"/>
          <w:noProof/>
          <w:color w:val="000000"/>
          <w:szCs w:val="24"/>
          <w:lang w:val="es"/>
        </w:rPr>
        <w:t>espera</w:t>
      </w:r>
      <w:r>
        <w:rPr>
          <w:rFonts w:asciiTheme="majorHAnsi" w:eastAsia="MS Gothic" w:hAnsiTheme="majorHAnsi" w:cstheme="majorHAnsi"/>
          <w:color w:val="000000"/>
          <w:szCs w:val="24"/>
          <w:lang w:val="es"/>
        </w:rPr>
        <w:t xml:space="preserve"> que el auditor </w:t>
      </w:r>
      <w:r>
        <w:rPr>
          <w:rFonts w:asciiTheme="majorHAnsi" w:eastAsia="MS Gothic" w:hAnsiTheme="majorHAnsi" w:cstheme="majorHAnsi"/>
          <w:noProof/>
          <w:color w:val="000000"/>
          <w:szCs w:val="24"/>
          <w:lang w:val="es"/>
        </w:rPr>
        <w:t>categorice</w:t>
      </w:r>
      <w:r>
        <w:rPr>
          <w:rFonts w:asciiTheme="majorHAnsi" w:eastAsia="MS Gothic" w:hAnsiTheme="majorHAnsi" w:cstheme="majorHAnsi"/>
          <w:color w:val="000000"/>
          <w:szCs w:val="24"/>
          <w:lang w:val="es"/>
        </w:rPr>
        <w:t xml:space="preserve"> cada conclusión, si corresponde, en una de las seis subcategorías de riesgos financieros y que facilite una tabla resumida donde muestre las conclusiones por subcategoría de riesgo y calificación. En esta sección de incluirse el criterio del auditor respecto de cuáles son los riesgos clave de la auditoría y la metodología aplicada para abordarlos.</w:t>
      </w:r>
    </w:p>
    <w:p w14:paraId="7D626FA4" w14:textId="618BBF0B" w:rsidR="00382C10" w:rsidRPr="00382C10" w:rsidRDefault="00382C10" w:rsidP="00382C10">
      <w:pPr>
        <w:keepNext/>
        <w:keepLines/>
        <w:numPr>
          <w:ilvl w:val="1"/>
          <w:numId w:val="45"/>
        </w:numPr>
        <w:spacing w:before="0" w:after="120" w:line="240" w:lineRule="auto"/>
        <w:ind w:left="1080"/>
        <w:outlineLvl w:val="2"/>
        <w:rPr>
          <w:rFonts w:asciiTheme="majorHAnsi" w:eastAsia="MS Gothic" w:hAnsiTheme="majorHAnsi" w:cstheme="majorHAnsi"/>
          <w:b/>
          <w:bCs/>
          <w:szCs w:val="24"/>
        </w:rPr>
      </w:pPr>
      <w:bookmarkStart w:id="320" w:name="_Toc101550428"/>
      <w:bookmarkStart w:id="321" w:name="_Toc101541041"/>
      <w:bookmarkStart w:id="322" w:name="_Toc101540601"/>
      <w:bookmarkStart w:id="323" w:name="_Toc101540471"/>
      <w:bookmarkStart w:id="324" w:name="_Toc101540372"/>
      <w:bookmarkStart w:id="325" w:name="_Toc101540321"/>
      <w:bookmarkStart w:id="326" w:name="_Toc101540263"/>
      <w:bookmarkStart w:id="327" w:name="_Toc101540082"/>
      <w:bookmarkStart w:id="328" w:name="_Toc101539177"/>
      <w:bookmarkStart w:id="329" w:name="_Toc101538327"/>
      <w:bookmarkStart w:id="330" w:name="_Toc100821763"/>
      <w:bookmarkStart w:id="331" w:name="_Toc100560017"/>
      <w:bookmarkStart w:id="332" w:name="_Toc5026436"/>
      <w:bookmarkStart w:id="333" w:name="_Toc19971635"/>
      <w:bookmarkStart w:id="334" w:name="_Toc19971801"/>
      <w:bookmarkStart w:id="335" w:name="_Toc19971967"/>
      <w:bookmarkStart w:id="336" w:name="_Toc19972133"/>
      <w:bookmarkStart w:id="337" w:name="_Toc19972299"/>
      <w:bookmarkStart w:id="338" w:name="_Toc19972465"/>
      <w:bookmarkStart w:id="339" w:name="_Toc20466659"/>
      <w:bookmarkStart w:id="340" w:name="_Toc104292662"/>
      <w:bookmarkEnd w:id="320"/>
      <w:bookmarkEnd w:id="321"/>
      <w:bookmarkEnd w:id="322"/>
      <w:bookmarkEnd w:id="323"/>
      <w:bookmarkEnd w:id="324"/>
      <w:bookmarkEnd w:id="325"/>
      <w:bookmarkEnd w:id="326"/>
      <w:bookmarkEnd w:id="327"/>
      <w:bookmarkEnd w:id="328"/>
      <w:bookmarkEnd w:id="329"/>
      <w:bookmarkEnd w:id="330"/>
      <w:bookmarkEnd w:id="331"/>
      <w:r>
        <w:rPr>
          <w:rFonts w:asciiTheme="majorHAnsi" w:eastAsia="MS Gothic" w:hAnsiTheme="majorHAnsi" w:cstheme="majorHAnsi"/>
          <w:b/>
          <w:bCs/>
          <w:szCs w:val="24"/>
          <w:lang w:val="es"/>
        </w:rPr>
        <w:t>Otras divulgaciones importantes</w:t>
      </w:r>
      <w:bookmarkEnd w:id="332"/>
      <w:bookmarkEnd w:id="333"/>
      <w:bookmarkEnd w:id="334"/>
      <w:bookmarkEnd w:id="335"/>
      <w:bookmarkEnd w:id="336"/>
      <w:bookmarkEnd w:id="337"/>
      <w:bookmarkEnd w:id="338"/>
      <w:bookmarkEnd w:id="339"/>
      <w:bookmarkEnd w:id="340"/>
    </w:p>
    <w:p w14:paraId="3ADA84AE" w14:textId="78474395" w:rsidR="00382C10" w:rsidRPr="005819FD" w:rsidRDefault="00382C10" w:rsidP="00A30A41">
      <w:pPr>
        <w:pStyle w:val="ListParagraph"/>
        <w:numPr>
          <w:ilvl w:val="0"/>
          <w:numId w:val="36"/>
        </w:numPr>
        <w:rPr>
          <w:rFonts w:eastAsia="MS Mincho"/>
          <w:szCs w:val="24"/>
          <w:lang w:val="es-ES"/>
        </w:rPr>
      </w:pPr>
      <w:r>
        <w:rPr>
          <w:rFonts w:asciiTheme="majorHAnsi" w:eastAsia="Calibri" w:hAnsiTheme="majorHAnsi" w:cstheme="majorHAnsi"/>
          <w:lang w:val="es"/>
        </w:rPr>
        <w:t xml:space="preserve">Basándose en las conclusiones de la revisión del marco de control interno (con la posible inclusión de un tercero) y en el grado de estas deficiencias, el auditor </w:t>
      </w:r>
      <w:r>
        <w:rPr>
          <w:rFonts w:asciiTheme="majorHAnsi" w:eastAsia="Calibri" w:hAnsiTheme="majorHAnsi" w:cstheme="majorHAnsi"/>
          <w:b/>
          <w:bCs/>
          <w:lang w:val="es"/>
        </w:rPr>
        <w:t>debe</w:t>
      </w:r>
      <w:r>
        <w:rPr>
          <w:rFonts w:asciiTheme="majorHAnsi" w:eastAsia="Calibri" w:hAnsiTheme="majorHAnsi" w:cstheme="majorHAnsi"/>
          <w:lang w:val="es"/>
        </w:rPr>
        <w:t xml:space="preserve"> destacar cualquier otra información importante en la que la dirección deba centrar su atención. </w:t>
      </w:r>
    </w:p>
    <w:p w14:paraId="60C4CC3E" w14:textId="60F8ABC7" w:rsidR="000E28F1" w:rsidRPr="005819FD" w:rsidRDefault="00382C10" w:rsidP="00852F33">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La carta de gestión debe incluir las respuestas aportadas por el Receptor Principal en el análisis de las recomendaciones de auditoría, junto con un plazo para ejecutar las recomendaciones acordadas. Cuando el Receptor Principal no acepte una conclusión de la auditoría o el auditor no esté de acuerdo con idoneidad de la respuesta de la dirección, la carta de gestión reconocerá ese desacuerdo. Todas las observaciones y recomendaciones se tratarán con la dirección del Receptor Principal antes de finalizar la carta.</w:t>
      </w:r>
    </w:p>
    <w:p w14:paraId="2B6343B4" w14:textId="77777777" w:rsidR="00BE65F0" w:rsidRPr="005819FD" w:rsidRDefault="00BE65F0" w:rsidP="00A30A41">
      <w:pPr>
        <w:spacing w:before="0" w:after="120" w:line="240" w:lineRule="auto"/>
        <w:ind w:left="360"/>
        <w:jc w:val="both"/>
        <w:rPr>
          <w:rFonts w:asciiTheme="majorHAnsi" w:eastAsia="Calibri" w:hAnsiTheme="majorHAnsi" w:cstheme="majorHAnsi"/>
          <w:lang w:val="es-ES"/>
        </w:rPr>
      </w:pPr>
    </w:p>
    <w:p w14:paraId="61CD6C98" w14:textId="7EF8B9AB" w:rsidR="000E28F1" w:rsidRPr="005819FD" w:rsidRDefault="000E28F1" w:rsidP="00A30A41">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lang w:val="es-ES"/>
        </w:rPr>
      </w:pPr>
      <w:bookmarkStart w:id="341" w:name="_Toc101550430"/>
      <w:bookmarkStart w:id="342" w:name="_Toc101541043"/>
      <w:bookmarkStart w:id="343" w:name="_Toc101540603"/>
      <w:bookmarkStart w:id="344" w:name="_Toc101540473"/>
      <w:bookmarkStart w:id="345" w:name="_Toc104292663"/>
      <w:bookmarkEnd w:id="341"/>
      <w:bookmarkEnd w:id="342"/>
      <w:bookmarkEnd w:id="343"/>
      <w:bookmarkEnd w:id="344"/>
      <w:r>
        <w:rPr>
          <w:rFonts w:asciiTheme="majorHAnsi" w:eastAsia="MS Gothic" w:hAnsiTheme="majorHAnsi" w:cstheme="majorHAnsi"/>
          <w:b/>
          <w:bCs/>
          <w:color w:val="000000"/>
          <w:sz w:val="24"/>
          <w:szCs w:val="28"/>
          <w:lang w:val="es"/>
        </w:rPr>
        <w:t>Proceso de revisión del informe provisional</w:t>
      </w:r>
      <w:bookmarkEnd w:id="345"/>
    </w:p>
    <w:p w14:paraId="54FDB2EB" w14:textId="77777777" w:rsidR="00382C10" w:rsidRPr="005819FD" w:rsidRDefault="00382C10">
      <w:pPr>
        <w:numPr>
          <w:ilvl w:val="0"/>
          <w:numId w:val="36"/>
        </w:numPr>
        <w:spacing w:before="0" w:after="120" w:line="240" w:lineRule="auto"/>
        <w:jc w:val="both"/>
        <w:rPr>
          <w:rFonts w:asciiTheme="majorHAnsi" w:eastAsia="Calibri" w:hAnsiTheme="majorHAnsi" w:cstheme="majorHAnsi"/>
          <w:lang w:val="es-ES"/>
        </w:rPr>
      </w:pPr>
      <w:bookmarkStart w:id="346" w:name="_Toc101540329"/>
      <w:bookmarkStart w:id="347" w:name="_Toc101540271"/>
      <w:bookmarkStart w:id="348" w:name="_Toc101540090"/>
      <w:bookmarkStart w:id="349" w:name="_Toc101539185"/>
      <w:bookmarkStart w:id="350" w:name="_Toc101538334"/>
      <w:bookmarkStart w:id="351" w:name="_Toc100821770"/>
      <w:bookmarkStart w:id="352" w:name="_Toc100560024"/>
      <w:bookmarkStart w:id="353" w:name="_Toc101540327"/>
      <w:bookmarkStart w:id="354" w:name="_Toc101540269"/>
      <w:bookmarkStart w:id="355" w:name="_Toc101540088"/>
      <w:bookmarkStart w:id="356" w:name="_Toc101539183"/>
      <w:bookmarkStart w:id="357" w:name="_Toc101538332"/>
      <w:bookmarkStart w:id="358" w:name="_Toc100821768"/>
      <w:bookmarkStart w:id="359" w:name="_Toc100560022"/>
      <w:bookmarkStart w:id="360" w:name="_Toc101540325"/>
      <w:bookmarkStart w:id="361" w:name="_Toc101540267"/>
      <w:bookmarkStart w:id="362" w:name="_Toc101540086"/>
      <w:bookmarkStart w:id="363" w:name="_Toc101539181"/>
      <w:bookmarkStart w:id="364" w:name="_Toc101538330"/>
      <w:bookmarkStart w:id="365" w:name="_Toc100821766"/>
      <w:bookmarkStart w:id="366" w:name="_Toc100560020"/>
      <w:bookmarkStart w:id="367" w:name="_Toc101540324"/>
      <w:bookmarkStart w:id="368" w:name="_Toc101540266"/>
      <w:bookmarkStart w:id="369" w:name="_Toc101540085"/>
      <w:bookmarkStart w:id="370" w:name="_Toc101539180"/>
      <w:bookmarkStart w:id="371" w:name="_Toc101538329"/>
      <w:bookmarkStart w:id="372" w:name="_Toc100821765"/>
      <w:bookmarkStart w:id="373" w:name="_Toc100560019"/>
      <w:bookmarkStart w:id="374" w:name="_Toc101540084"/>
      <w:bookmarkStart w:id="375" w:name="_Toc101539179"/>
      <w:bookmarkStart w:id="376" w:name="_Hlk5217864"/>
      <w:bookmarkStart w:id="377" w:name="_Hlk5226559"/>
      <w:bookmarkStart w:id="378" w:name="_Hlk502632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Theme="majorHAnsi" w:eastAsia="Calibri" w:hAnsiTheme="majorHAnsi" w:cstheme="majorHAnsi"/>
          <w:lang w:val="es"/>
        </w:rPr>
        <w:t xml:space="preserve">El Receptor Principal realizará comentarios sobre el informe provisional del auditor dentro de un plazo de diez días naturales tras la recepción del informe provisional. El Equipo de País del Fondo Mundial pertinente también puede solicitar una revisión del informe provisional. Si tras la </w:t>
      </w:r>
      <w:r>
        <w:rPr>
          <w:rFonts w:asciiTheme="majorHAnsi" w:eastAsia="Calibri" w:hAnsiTheme="majorHAnsi" w:cstheme="majorHAnsi"/>
          <w:lang w:val="es"/>
        </w:rPr>
        <w:lastRenderedPageBreak/>
        <w:t xml:space="preserve">revisión del informe provisional el Fondo Mundial solicita al auditor llevar a cabo una tarea adicional, podría acordarse un nuevo plazo para la presentación del informe. </w:t>
      </w:r>
    </w:p>
    <w:p w14:paraId="23C5B54B"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El auditor debe presentar un informe provisional actualizado que contemple los comentarios para el Receptor Principal (y, en última instancia, para el Fondo Mundial) dentro de cinco días naturales tras la recepción de los comentarios. El Receptor Principal aportará observaciones al auditor sobre el informe provisional actualizado dentro de un plazo de cinco días naturales.</w:t>
      </w:r>
    </w:p>
    <w:bookmarkEnd w:id="376"/>
    <w:p w14:paraId="72C8C281" w14:textId="357084CC"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Si los comentarios del Receptor Principal no se reciben dentro de este plazo, el auditor se lo recordará al Receptor Principal hasta recibir su respuesta por escrito. En el caso de que produzcan demoras excesivas por parte del Receptor Principal (más de diez días naturales), el auditor se pondrá en contacto con el Fondo Mundial para encontrar una solución adecuada.</w:t>
      </w:r>
    </w:p>
    <w:p w14:paraId="63EB479F" w14:textId="77777777" w:rsidR="002C4720" w:rsidRPr="005819FD" w:rsidRDefault="002C4720" w:rsidP="00A30A41">
      <w:pPr>
        <w:spacing w:before="0" w:after="120" w:line="240" w:lineRule="auto"/>
        <w:ind w:left="360"/>
        <w:jc w:val="both"/>
        <w:rPr>
          <w:rFonts w:asciiTheme="majorHAnsi" w:eastAsia="Calibri" w:hAnsiTheme="majorHAnsi" w:cstheme="majorHAnsi"/>
          <w:lang w:val="es-ES"/>
        </w:rPr>
      </w:pPr>
    </w:p>
    <w:p w14:paraId="6E590276" w14:textId="341B7EB4" w:rsidR="00BC0019" w:rsidRPr="00382C10" w:rsidRDefault="00C1660A" w:rsidP="00A30A41">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rPr>
      </w:pPr>
      <w:bookmarkStart w:id="379" w:name="_Toc104292664"/>
      <w:r>
        <w:rPr>
          <w:rFonts w:asciiTheme="majorHAnsi" w:eastAsia="MS Gothic" w:hAnsiTheme="majorHAnsi" w:cstheme="majorHAnsi"/>
          <w:b/>
          <w:bCs/>
          <w:color w:val="000000"/>
          <w:sz w:val="24"/>
          <w:szCs w:val="28"/>
          <w:lang w:val="es"/>
        </w:rPr>
        <w:t>Informe final e idioma</w:t>
      </w:r>
      <w:bookmarkEnd w:id="379"/>
    </w:p>
    <w:p w14:paraId="0AD0C131" w14:textId="4F657E67" w:rsidR="00B70820" w:rsidRPr="005819FD" w:rsidRDefault="00BC0019" w:rsidP="00B7082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 El informe final y la carta de gestión deben cumplir el artículo </w:t>
      </w:r>
      <w:bookmarkStart w:id="380" w:name="_Hlk101786949"/>
      <w:r>
        <w:rPr>
          <w:rFonts w:asciiTheme="majorHAnsi" w:eastAsia="Calibri" w:hAnsiTheme="majorHAnsi" w:cstheme="majorHAnsi"/>
          <w:lang w:val="es"/>
        </w:rPr>
        <w:t xml:space="preserve">104 de las Directrices </w:t>
      </w:r>
      <w:bookmarkEnd w:id="380"/>
      <w:r>
        <w:rPr>
          <w:rFonts w:asciiTheme="majorHAnsi" w:eastAsia="Calibri" w:hAnsiTheme="majorHAnsi" w:cstheme="majorHAnsi"/>
          <w:lang w:val="es"/>
        </w:rPr>
        <w:t>para la auditoría anual de las subvenciones del Fondo Mundial, y presentarse en uno de los idiomas oficiales del Fondo Mundial utilizando las plantillas que se facilitan en los anexos 3 y 4 de las presentes directrices.</w:t>
      </w:r>
    </w:p>
    <w:p w14:paraId="6982941A" w14:textId="615B190F" w:rsidR="00AF0705" w:rsidRPr="005819FD" w:rsidRDefault="00B70820" w:rsidP="00926549">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El auditor debe presentar tres copias impresas originales al Receptor Principal, así como una copia electrónica legible por máquina del informe final y del </w:t>
      </w:r>
      <w:bookmarkStart w:id="381" w:name="_Hlk101799336"/>
      <w:r>
        <w:rPr>
          <w:rFonts w:asciiTheme="majorHAnsi" w:eastAsia="Calibri" w:hAnsiTheme="majorHAnsi" w:cstheme="majorHAnsi"/>
          <w:lang w:val="es"/>
        </w:rPr>
        <w:t>archivo Excel "</w:t>
      </w:r>
      <w:bookmarkStart w:id="382" w:name="_Hlk101787075"/>
      <w:r>
        <w:rPr>
          <w:rFonts w:asciiTheme="majorHAnsi" w:eastAsia="Calibri" w:hAnsiTheme="majorHAnsi" w:cstheme="majorHAnsi"/>
          <w:lang w:val="es"/>
        </w:rPr>
        <w:t>Gastos no conformes</w:t>
      </w:r>
      <w:bookmarkEnd w:id="381"/>
      <w:bookmarkEnd w:id="382"/>
      <w:r>
        <w:rPr>
          <w:rFonts w:asciiTheme="majorHAnsi" w:eastAsia="Calibri" w:hAnsiTheme="majorHAnsi" w:cstheme="majorHAnsi"/>
          <w:lang w:val="es"/>
        </w:rPr>
        <w:t>"</w:t>
      </w:r>
      <w:r>
        <w:rPr>
          <w:rFonts w:asciiTheme="majorHAnsi" w:eastAsia="Calibri" w:hAnsiTheme="majorHAnsi" w:cstheme="majorHAnsi"/>
          <w:vertAlign w:val="superscript"/>
          <w:lang w:val="es"/>
        </w:rPr>
        <w:footnoteReference w:id="19"/>
      </w:r>
      <w:r>
        <w:rPr>
          <w:rFonts w:asciiTheme="majorHAnsi" w:eastAsia="Calibri" w:hAnsiTheme="majorHAnsi" w:cstheme="majorHAnsi"/>
          <w:lang w:val="es"/>
        </w:rPr>
        <w:t xml:space="preserve"> al Receptor Principal y al Fondo Mundial.</w:t>
      </w:r>
      <w:r>
        <w:rPr>
          <w:rFonts w:asciiTheme="majorHAnsi" w:eastAsia="Calibri" w:hAnsiTheme="majorHAnsi" w:cstheme="majorHAnsi"/>
          <w:vertAlign w:val="superscript"/>
          <w:lang w:val="es"/>
        </w:rPr>
        <w:footnoteReference w:id="20"/>
      </w:r>
      <w:r>
        <w:rPr>
          <w:rFonts w:asciiTheme="majorHAnsi" w:eastAsia="Calibri" w:hAnsiTheme="majorHAnsi" w:cstheme="majorHAnsi"/>
          <w:lang w:val="es"/>
        </w:rPr>
        <w:t xml:space="preserve"> </w:t>
      </w:r>
    </w:p>
    <w:p w14:paraId="725984A5" w14:textId="77777777" w:rsidR="00382C10" w:rsidRPr="005819FD" w:rsidRDefault="00382C10" w:rsidP="00A30A41">
      <w:pPr>
        <w:spacing w:before="0" w:after="120" w:line="240" w:lineRule="auto"/>
        <w:jc w:val="both"/>
        <w:rPr>
          <w:rFonts w:asciiTheme="majorHAnsi" w:eastAsia="MS Mincho" w:hAnsiTheme="majorHAnsi" w:cstheme="majorHAnsi"/>
          <w:szCs w:val="24"/>
          <w:lang w:val="es-ES"/>
        </w:rPr>
      </w:pPr>
      <w:bookmarkStart w:id="383" w:name="_Toc100560026"/>
      <w:bookmarkStart w:id="384" w:name="_Toc100821772"/>
      <w:bookmarkStart w:id="385" w:name="_Toc101538336"/>
      <w:bookmarkEnd w:id="377"/>
      <w:bookmarkEnd w:id="383"/>
      <w:bookmarkEnd w:id="384"/>
      <w:bookmarkEnd w:id="385"/>
    </w:p>
    <w:p w14:paraId="6F42AD2B" w14:textId="77777777" w:rsidR="00382C10" w:rsidRPr="005819FD" w:rsidRDefault="00382C10" w:rsidP="00382C10">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lang w:val="es-ES"/>
        </w:rPr>
      </w:pPr>
      <w:bookmarkStart w:id="386" w:name="_Toc536777654"/>
      <w:bookmarkStart w:id="387" w:name="_Toc5026437"/>
      <w:bookmarkStart w:id="388" w:name="_Toc19971639"/>
      <w:bookmarkStart w:id="389" w:name="_Toc19971805"/>
      <w:bookmarkStart w:id="390" w:name="_Toc19971971"/>
      <w:bookmarkStart w:id="391" w:name="_Toc19972137"/>
      <w:bookmarkStart w:id="392" w:name="_Toc19972303"/>
      <w:bookmarkStart w:id="393" w:name="_Toc19972469"/>
      <w:bookmarkStart w:id="394" w:name="_Toc20466663"/>
      <w:bookmarkStart w:id="395" w:name="_Toc104292665"/>
      <w:r>
        <w:rPr>
          <w:rFonts w:asciiTheme="majorHAnsi" w:eastAsia="MS Gothic" w:hAnsiTheme="majorHAnsi" w:cstheme="majorHAnsi"/>
          <w:b/>
          <w:bCs/>
          <w:color w:val="000000"/>
          <w:sz w:val="24"/>
          <w:szCs w:val="28"/>
          <w:lang w:val="es"/>
        </w:rPr>
        <w:t>Evaluación del desempeño, rotación y rescisión del contrato del auditor</w:t>
      </w:r>
      <w:bookmarkEnd w:id="386"/>
      <w:bookmarkEnd w:id="387"/>
      <w:bookmarkEnd w:id="388"/>
      <w:bookmarkEnd w:id="389"/>
      <w:bookmarkEnd w:id="390"/>
      <w:bookmarkEnd w:id="391"/>
      <w:bookmarkEnd w:id="392"/>
      <w:bookmarkEnd w:id="393"/>
      <w:bookmarkEnd w:id="394"/>
      <w:bookmarkEnd w:id="395"/>
    </w:p>
    <w:p w14:paraId="78CDF829" w14:textId="76FC4B0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 xml:space="preserve">La auditoría deberá hacer referencia a las secciones pertinentes incluidas en las directrices de auditoría del Fondo Mundial relativas a cómo se evaluará su desempeño y las implicaciones de </w:t>
      </w:r>
      <w:r w:rsidR="00D213B6">
        <w:rPr>
          <w:rFonts w:asciiTheme="majorHAnsi" w:eastAsia="Calibri" w:hAnsiTheme="majorHAnsi" w:cstheme="majorHAnsi"/>
          <w:lang w:val="es"/>
        </w:rPr>
        <w:t>este</w:t>
      </w:r>
      <w:r>
        <w:rPr>
          <w:rFonts w:asciiTheme="majorHAnsi" w:eastAsia="Calibri" w:hAnsiTheme="majorHAnsi" w:cstheme="majorHAnsi"/>
          <w:lang w:val="es"/>
        </w:rPr>
        <w:t xml:space="preserve"> en el contrato.</w:t>
      </w:r>
    </w:p>
    <w:p w14:paraId="4BD21499" w14:textId="77777777" w:rsidR="00151D19" w:rsidRPr="005819FD" w:rsidRDefault="00151D19" w:rsidP="00A30A41">
      <w:pPr>
        <w:spacing w:before="0" w:after="120" w:line="240" w:lineRule="auto"/>
        <w:jc w:val="both"/>
        <w:rPr>
          <w:rFonts w:asciiTheme="majorHAnsi" w:eastAsia="Calibri" w:hAnsiTheme="majorHAnsi" w:cstheme="majorHAnsi"/>
          <w:lang w:val="es-ES"/>
        </w:rPr>
      </w:pPr>
    </w:p>
    <w:p w14:paraId="37AC585A" w14:textId="77777777" w:rsidR="00382C10" w:rsidRPr="00382C10" w:rsidRDefault="00382C10" w:rsidP="00382C10">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rPr>
      </w:pPr>
      <w:bookmarkStart w:id="396" w:name="_Toc101550434"/>
      <w:bookmarkStart w:id="397" w:name="_Toc101541047"/>
      <w:bookmarkStart w:id="398" w:name="_Toc101540607"/>
      <w:bookmarkStart w:id="399" w:name="_Toc101540477"/>
      <w:bookmarkStart w:id="400" w:name="_Toc101540376"/>
      <w:bookmarkStart w:id="401" w:name="_Toc101540333"/>
      <w:bookmarkStart w:id="402" w:name="_Toc101540275"/>
      <w:bookmarkStart w:id="403" w:name="_Toc101540094"/>
      <w:bookmarkStart w:id="404" w:name="_Toc101539189"/>
      <w:bookmarkStart w:id="405" w:name="_Toc101538339"/>
      <w:bookmarkStart w:id="406" w:name="_Toc100821775"/>
      <w:bookmarkStart w:id="407" w:name="_Toc100560029"/>
      <w:bookmarkStart w:id="408" w:name="_Toc20466664"/>
      <w:bookmarkStart w:id="409" w:name="_Toc19972470"/>
      <w:bookmarkStart w:id="410" w:name="_Toc19972304"/>
      <w:bookmarkStart w:id="411" w:name="_Toc19972138"/>
      <w:bookmarkStart w:id="412" w:name="_Toc19971972"/>
      <w:bookmarkStart w:id="413" w:name="_Toc19971806"/>
      <w:bookmarkStart w:id="414" w:name="_Toc19971640"/>
      <w:bookmarkStart w:id="415" w:name="_Toc5026438"/>
      <w:bookmarkStart w:id="416" w:name="_Toc104292666"/>
      <w:bookmarkEnd w:id="378"/>
      <w:bookmarkEnd w:id="396"/>
      <w:bookmarkEnd w:id="397"/>
      <w:bookmarkEnd w:id="398"/>
      <w:bookmarkEnd w:id="399"/>
      <w:bookmarkEnd w:id="400"/>
      <w:bookmarkEnd w:id="401"/>
      <w:bookmarkEnd w:id="402"/>
      <w:bookmarkEnd w:id="403"/>
      <w:bookmarkEnd w:id="404"/>
      <w:bookmarkEnd w:id="405"/>
      <w:bookmarkEnd w:id="406"/>
      <w:bookmarkEnd w:id="407"/>
      <w:r>
        <w:rPr>
          <w:rFonts w:asciiTheme="majorHAnsi" w:eastAsia="MS Gothic" w:hAnsiTheme="majorHAnsi" w:cstheme="majorHAnsi"/>
          <w:b/>
          <w:bCs/>
          <w:color w:val="000000"/>
          <w:sz w:val="24"/>
          <w:szCs w:val="28"/>
          <w:lang w:val="es"/>
        </w:rPr>
        <w:t>Información general</w:t>
      </w:r>
      <w:bookmarkEnd w:id="408"/>
      <w:bookmarkEnd w:id="409"/>
      <w:bookmarkEnd w:id="410"/>
      <w:bookmarkEnd w:id="411"/>
      <w:bookmarkEnd w:id="412"/>
      <w:bookmarkEnd w:id="413"/>
      <w:bookmarkEnd w:id="414"/>
      <w:bookmarkEnd w:id="415"/>
      <w:bookmarkEnd w:id="416"/>
      <w:r>
        <w:rPr>
          <w:rFonts w:asciiTheme="majorHAnsi" w:eastAsia="MS Gothic" w:hAnsiTheme="majorHAnsi" w:cstheme="majorHAnsi"/>
          <w:b/>
          <w:bCs/>
          <w:color w:val="000000"/>
          <w:sz w:val="24"/>
          <w:szCs w:val="28"/>
          <w:lang w:val="es"/>
        </w:rPr>
        <w:t xml:space="preserve"> </w:t>
      </w:r>
    </w:p>
    <w:p w14:paraId="0657043B" w14:textId="4CFD3D71" w:rsidR="00382C10" w:rsidRPr="005819FD" w:rsidRDefault="00382C10" w:rsidP="00A30A41">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A la firma auditora seleccionada se le concederá el acceso oportuno, pleno e ilimitado al sistema de gestión financiera, registros contables, activos, propiedad y personal del Receptor Principal (y los subreceptores) que puedan ayudar a aclarar cualquier cuestión relacionada con la auditoría.</w:t>
      </w:r>
    </w:p>
    <w:p w14:paraId="534A0A99" w14:textId="77777777" w:rsidR="00382C10" w:rsidRPr="005819FD" w:rsidRDefault="00382C10" w:rsidP="00A30A41">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Con el fin de ayudar a la firma auditora seleccionada en la planificación de la auditoría, el Receptor Principal facilitará, como mínimo, los documentos y la información que se indican a continuación. Como parte de los requisitos de auditoría relativos a la comprensión de la naturaleza de las operaciones de la entidad, se recomienda especialmente que los auditores se familiaricen con los siguientes puntos:</w:t>
      </w:r>
    </w:p>
    <w:p w14:paraId="5A856E24" w14:textId="4E7FDB68" w:rsidR="00382C10" w:rsidRPr="005819FD" w:rsidRDefault="00382C10" w:rsidP="00382C10">
      <w:pPr>
        <w:numPr>
          <w:ilvl w:val="0"/>
          <w:numId w:val="32"/>
        </w:numPr>
        <w:spacing w:before="0" w:after="120" w:line="240" w:lineRule="auto"/>
        <w:ind w:left="1440"/>
        <w:jc w:val="both"/>
        <w:rPr>
          <w:rFonts w:asciiTheme="majorHAnsi" w:eastAsia="MS Mincho" w:hAnsiTheme="majorHAnsi" w:cstheme="majorHAnsi"/>
          <w:szCs w:val="24"/>
          <w:lang w:val="es-ES"/>
        </w:rPr>
      </w:pPr>
      <w:r>
        <w:rPr>
          <w:rFonts w:asciiTheme="majorHAnsi" w:eastAsia="MS Mincho" w:hAnsiTheme="majorHAnsi" w:cstheme="majorHAnsi"/>
          <w:noProof/>
          <w:szCs w:val="24"/>
          <w:lang w:val="es"/>
        </w:rPr>
        <w:t xml:space="preserve">Las Directrices sobre las auditorías anuales de los estados financieros del programa de subvenciones del Fondo Mundial: </w:t>
      </w:r>
      <w:hyperlink r:id="rId23" w:history="1">
        <w:r>
          <w:rPr>
            <w:rFonts w:asciiTheme="majorHAnsi" w:eastAsia="MS Mincho" w:hAnsiTheme="majorHAnsi" w:cstheme="majorHAnsi"/>
            <w:i/>
            <w:iCs/>
            <w:noProof/>
            <w:color w:val="0000FF"/>
            <w:szCs w:val="24"/>
            <w:u w:val="single"/>
            <w:lang w:val="es"/>
          </w:rPr>
          <w:t>Directrices y herramientas: El Fondo Mundial de lucha contra el sida, la tuberculosis y la malaria</w:t>
        </w:r>
      </w:hyperlink>
      <w:r>
        <w:rPr>
          <w:rFonts w:asciiTheme="majorHAnsi" w:eastAsia="MS Mincho" w:hAnsiTheme="majorHAnsi" w:cstheme="majorHAnsi"/>
          <w:i/>
          <w:iCs/>
          <w:noProof/>
          <w:szCs w:val="24"/>
          <w:lang w:val="es"/>
        </w:rPr>
        <w:t>;</w:t>
      </w:r>
    </w:p>
    <w:p w14:paraId="4BDF3DC2" w14:textId="77777777" w:rsidR="00382C10" w:rsidRPr="005819FD" w:rsidRDefault="00382C10" w:rsidP="00382C10">
      <w:pPr>
        <w:numPr>
          <w:ilvl w:val="0"/>
          <w:numId w:val="32"/>
        </w:numPr>
        <w:spacing w:before="0" w:after="120" w:line="240" w:lineRule="auto"/>
        <w:ind w:left="1440"/>
        <w:jc w:val="both"/>
        <w:rPr>
          <w:rFonts w:asciiTheme="majorHAnsi" w:eastAsia="MS Mincho" w:hAnsiTheme="majorHAnsi" w:cstheme="majorHAnsi"/>
          <w:szCs w:val="24"/>
          <w:lang w:val="es-ES"/>
        </w:rPr>
      </w:pPr>
      <w:r>
        <w:rPr>
          <w:rFonts w:asciiTheme="majorHAnsi" w:hAnsiTheme="majorHAnsi" w:cstheme="majorHAnsi"/>
          <w:noProof/>
          <w:szCs w:val="24"/>
          <w:lang w:val="es"/>
        </w:rPr>
        <w:t xml:space="preserve">Los acuerdos de subvención entre el </w:t>
      </w:r>
      <w:r>
        <w:rPr>
          <w:rFonts w:asciiTheme="majorHAnsi" w:hAnsiTheme="majorHAnsi" w:cstheme="majorHAnsi"/>
          <w:lang w:val="es"/>
        </w:rPr>
        <w:t>Receptor Principal</w:t>
      </w:r>
      <w:r>
        <w:rPr>
          <w:rFonts w:asciiTheme="majorHAnsi" w:hAnsiTheme="majorHAnsi" w:cstheme="majorHAnsi"/>
          <w:noProof/>
          <w:szCs w:val="24"/>
          <w:lang w:val="es"/>
        </w:rPr>
        <w:t xml:space="preserve"> y el Fondo Mundial y los acuerdos de sub-subvención suscritos con subreceptores. Cualquier </w:t>
      </w:r>
      <w:r>
        <w:rPr>
          <w:rFonts w:asciiTheme="majorHAnsi" w:hAnsiTheme="majorHAnsi" w:cstheme="majorHAnsi"/>
          <w:noProof/>
          <w:szCs w:val="24"/>
          <w:lang w:val="es"/>
        </w:rPr>
        <w:lastRenderedPageBreak/>
        <w:t>correspondencia por parte del Fondo Mundial en la que dé su aprobación a un presupuesto reprogramado que afecte al año auditado;</w:t>
      </w:r>
    </w:p>
    <w:p w14:paraId="4E511DC8" w14:textId="77777777" w:rsidR="00382C10" w:rsidRPr="005819FD" w:rsidRDefault="00382C10" w:rsidP="00382C10">
      <w:pPr>
        <w:numPr>
          <w:ilvl w:val="0"/>
          <w:numId w:val="32"/>
        </w:numPr>
        <w:spacing w:before="0" w:after="120" w:line="240" w:lineRule="auto"/>
        <w:ind w:left="1440"/>
        <w:jc w:val="both"/>
        <w:rPr>
          <w:rFonts w:asciiTheme="majorHAnsi" w:eastAsia="MS Mincho" w:hAnsiTheme="majorHAnsi" w:cstheme="majorHAnsi"/>
          <w:szCs w:val="24"/>
          <w:lang w:val="es-ES"/>
        </w:rPr>
      </w:pPr>
      <w:r>
        <w:rPr>
          <w:rFonts w:asciiTheme="majorHAnsi" w:eastAsia="MS Mincho" w:hAnsiTheme="majorHAnsi" w:cstheme="majorHAnsi"/>
          <w:noProof/>
          <w:szCs w:val="24"/>
          <w:lang w:val="es"/>
        </w:rPr>
        <w:t>Las actualizaciones de avances (PU/DR) y cartas de gestión. Debe obtenerse asimismo la confirmación de los montos desembolsados y pendientes del Fondo Mundial;</w:t>
      </w:r>
    </w:p>
    <w:p w14:paraId="18F0677D" w14:textId="77777777" w:rsidR="00382C10" w:rsidRPr="00382C10" w:rsidRDefault="00382C10" w:rsidP="00382C10">
      <w:pPr>
        <w:numPr>
          <w:ilvl w:val="0"/>
          <w:numId w:val="32"/>
        </w:numPr>
        <w:spacing w:before="0" w:after="120" w:line="240" w:lineRule="auto"/>
        <w:ind w:left="1440"/>
        <w:jc w:val="both"/>
        <w:rPr>
          <w:rFonts w:asciiTheme="majorHAnsi" w:eastAsia="MS Mincho" w:hAnsiTheme="majorHAnsi" w:cstheme="majorHAnsi"/>
          <w:szCs w:val="24"/>
        </w:rPr>
      </w:pPr>
      <w:r>
        <w:rPr>
          <w:rFonts w:asciiTheme="majorHAnsi" w:eastAsia="MS Mincho" w:hAnsiTheme="majorHAnsi" w:cstheme="majorHAnsi"/>
          <w:szCs w:val="24"/>
          <w:lang w:val="es"/>
        </w:rPr>
        <w:t>Informes financieros anuales (IFA);</w:t>
      </w:r>
    </w:p>
    <w:p w14:paraId="59BED41D" w14:textId="18D6ED81" w:rsidR="00382C10" w:rsidRPr="005819FD" w:rsidRDefault="00382C10" w:rsidP="00382C10">
      <w:pPr>
        <w:numPr>
          <w:ilvl w:val="0"/>
          <w:numId w:val="32"/>
        </w:numPr>
        <w:spacing w:before="0" w:after="120" w:line="240" w:lineRule="auto"/>
        <w:ind w:left="1440"/>
        <w:jc w:val="both"/>
        <w:rPr>
          <w:rFonts w:asciiTheme="majorHAnsi" w:eastAsia="MS Mincho" w:hAnsiTheme="majorHAnsi" w:cstheme="majorHAnsi"/>
          <w:color w:val="0000FF"/>
          <w:szCs w:val="24"/>
          <w:u w:val="single"/>
          <w:lang w:val="es-ES"/>
        </w:rPr>
      </w:pPr>
      <w:r>
        <w:rPr>
          <w:rFonts w:asciiTheme="majorHAnsi" w:eastAsia="MS Mincho" w:hAnsiTheme="majorHAnsi" w:cstheme="majorHAnsi"/>
          <w:noProof/>
          <w:szCs w:val="24"/>
          <w:lang w:val="es"/>
        </w:rPr>
        <w:t xml:space="preserve">Directrices para la elaboración de presupuestos de programas del Fondo Mundial: </w:t>
      </w:r>
      <w:r>
        <w:rPr>
          <w:rFonts w:asciiTheme="majorHAnsi" w:eastAsia="MS Mincho" w:hAnsiTheme="majorHAnsi" w:cstheme="majorHAnsi"/>
          <w:noProof/>
          <w:szCs w:val="24"/>
          <w:lang w:val="es"/>
        </w:rPr>
        <w:fldChar w:fldCharType="begin"/>
      </w:r>
      <w:r>
        <w:rPr>
          <w:rFonts w:asciiTheme="majorHAnsi" w:eastAsia="MS Mincho" w:hAnsiTheme="majorHAnsi" w:cstheme="majorHAnsi"/>
          <w:noProof/>
          <w:szCs w:val="24"/>
          <w:lang w:val="es"/>
        </w:rPr>
        <w:instrText xml:space="preserve"> HYPERLINK "https://www.theglobalfund.org/media/3261/core_budgetinginglobalfundgrants_guideline_en.pdf" </w:instrText>
      </w:r>
      <w:r>
        <w:rPr>
          <w:rFonts w:asciiTheme="majorHAnsi" w:eastAsia="MS Mincho" w:hAnsiTheme="majorHAnsi" w:cstheme="majorHAnsi"/>
          <w:noProof/>
          <w:szCs w:val="24"/>
          <w:lang w:val="es"/>
        </w:rPr>
        <w:fldChar w:fldCharType="separate"/>
      </w:r>
      <w:r>
        <w:rPr>
          <w:rFonts w:asciiTheme="majorHAnsi" w:eastAsia="MS Mincho" w:hAnsiTheme="majorHAnsi" w:cstheme="majorHAnsi"/>
          <w:i/>
          <w:iCs/>
          <w:noProof/>
          <w:color w:val="0000FF"/>
          <w:szCs w:val="24"/>
          <w:u w:val="single"/>
          <w:lang w:val="es"/>
        </w:rPr>
        <w:t>Directrices para la preparación de presupuestos de subvenciones</w:t>
      </w:r>
      <w:r>
        <w:rPr>
          <w:rFonts w:asciiTheme="majorHAnsi" w:eastAsia="MS Mincho" w:hAnsiTheme="majorHAnsi" w:cstheme="majorHAnsi"/>
          <w:noProof/>
          <w:color w:val="0000FF"/>
          <w:szCs w:val="24"/>
          <w:u w:val="single"/>
          <w:lang w:val="es"/>
        </w:rPr>
        <w:t>;</w:t>
      </w:r>
    </w:p>
    <w:p w14:paraId="08DC5519" w14:textId="77777777" w:rsidR="00382C10" w:rsidRPr="005819FD" w:rsidRDefault="00382C10" w:rsidP="00382C10">
      <w:pPr>
        <w:spacing w:after="120" w:line="240" w:lineRule="auto"/>
        <w:ind w:left="1440"/>
        <w:jc w:val="both"/>
        <w:rPr>
          <w:rFonts w:asciiTheme="majorHAnsi" w:eastAsia="MS Mincho" w:hAnsiTheme="majorHAnsi" w:cstheme="majorHAnsi"/>
          <w:szCs w:val="24"/>
          <w:lang w:val="es-ES"/>
        </w:rPr>
      </w:pPr>
      <w:r>
        <w:rPr>
          <w:rFonts w:asciiTheme="majorHAnsi" w:hAnsiTheme="majorHAnsi" w:cstheme="majorHAnsi"/>
          <w:noProof/>
          <w:szCs w:val="24"/>
          <w:lang w:val="es"/>
        </w:rPr>
        <w:fldChar w:fldCharType="end"/>
      </w:r>
      <w:r>
        <w:rPr>
          <w:rFonts w:asciiTheme="majorHAnsi" w:hAnsiTheme="majorHAnsi" w:cstheme="majorHAnsi"/>
          <w:lang w:val="es"/>
        </w:rPr>
        <w:t xml:space="preserve"> Manuales aprobados de finanzas</w:t>
      </w:r>
      <w:r>
        <w:rPr>
          <w:rFonts w:asciiTheme="majorHAnsi" w:hAnsiTheme="majorHAnsi" w:cstheme="majorHAnsi"/>
          <w:noProof/>
          <w:szCs w:val="24"/>
          <w:lang w:val="es"/>
        </w:rPr>
        <w:t>, adquisiciones, gestión de subreceptores y otros manuales pertinentes del Receptor Principal;</w:t>
      </w:r>
    </w:p>
    <w:p w14:paraId="07B95D87" w14:textId="03AF22F8" w:rsidR="00382C10" w:rsidRPr="005819FD" w:rsidRDefault="00382C10" w:rsidP="00382C10">
      <w:pPr>
        <w:numPr>
          <w:ilvl w:val="0"/>
          <w:numId w:val="32"/>
        </w:numPr>
        <w:spacing w:before="0" w:after="120" w:line="240" w:lineRule="auto"/>
        <w:ind w:left="1440"/>
        <w:jc w:val="both"/>
        <w:rPr>
          <w:rFonts w:asciiTheme="majorHAnsi" w:eastAsia="MS Mincho" w:hAnsiTheme="majorHAnsi" w:cstheme="majorHAnsi"/>
          <w:i/>
          <w:noProof/>
          <w:szCs w:val="24"/>
          <w:lang w:val="es-ES"/>
        </w:rPr>
      </w:pPr>
      <w:r>
        <w:rPr>
          <w:rFonts w:asciiTheme="majorHAnsi" w:eastAsia="MS Mincho" w:hAnsiTheme="majorHAnsi" w:cstheme="majorHAnsi"/>
          <w:i/>
          <w:iCs/>
          <w:noProof/>
          <w:szCs w:val="24"/>
          <w:lang w:val="es"/>
        </w:rPr>
        <w:t xml:space="preserve">Se recomienda asimismo familiarizarse con la propuesta/nota conceptual bajo la cual se está ejecutando la subvención. Las propuestas están disponibles en el siguiente enlace </w:t>
      </w:r>
      <w:hyperlink r:id="rId24" w:history="1">
        <w:r>
          <w:rPr>
            <w:rFonts w:asciiTheme="majorHAnsi" w:eastAsia="MS Mincho" w:hAnsiTheme="majorHAnsi" w:cstheme="majorHAnsi"/>
            <w:i/>
            <w:iCs/>
            <w:noProof/>
            <w:color w:val="0000FF"/>
            <w:szCs w:val="24"/>
            <w:u w:val="single"/>
            <w:lang w:val="es"/>
          </w:rPr>
          <w:t>Portafolio de subvenciones - El Fondo Mundial de lucha contra el sida, la tuberculosis y la malaria</w:t>
        </w:r>
      </w:hyperlink>
      <w:r>
        <w:rPr>
          <w:rFonts w:asciiTheme="majorHAnsi" w:eastAsia="MS Mincho" w:hAnsiTheme="majorHAnsi" w:cstheme="majorHAnsi"/>
          <w:i/>
          <w:iCs/>
          <w:noProof/>
          <w:szCs w:val="24"/>
          <w:lang w:val="es"/>
        </w:rPr>
        <w:t xml:space="preserve"> y, a continuación, se en la página del país respectivo.</w:t>
      </w:r>
    </w:p>
    <w:p w14:paraId="264DBE9C" w14:textId="77777777" w:rsidR="00382C10" w:rsidRPr="005819FD" w:rsidRDefault="00382C10" w:rsidP="00382C10">
      <w:pPr>
        <w:numPr>
          <w:ilvl w:val="0"/>
          <w:numId w:val="36"/>
        </w:numPr>
        <w:spacing w:before="0" w:after="120" w:line="240" w:lineRule="auto"/>
        <w:jc w:val="both"/>
        <w:rPr>
          <w:rFonts w:asciiTheme="majorHAnsi" w:eastAsia="Calibri" w:hAnsiTheme="majorHAnsi" w:cstheme="majorHAnsi"/>
          <w:lang w:val="es-ES"/>
        </w:rPr>
      </w:pPr>
      <w:r>
        <w:rPr>
          <w:rFonts w:asciiTheme="majorHAnsi" w:eastAsia="Calibri" w:hAnsiTheme="majorHAnsi" w:cstheme="majorHAnsi"/>
          <w:lang w:val="es"/>
        </w:rPr>
        <w:t>El auditor debe ponerse en contacto con el ALF antes de preparar el plan de auditoría para permitirle destacar cualquier deficiencia y área de preocupación clave por adelantado. Durante el curso de la auditoría, se recomienda al auditor ponerse en contacto con el ALF cuando sea necesario con el fin de solicitar cualquier información o aclaración adicional.</w:t>
      </w:r>
    </w:p>
    <w:sectPr w:rsidR="00382C10" w:rsidRPr="005819FD" w:rsidSect="00A30A41">
      <w:headerReference w:type="default" r:id="rId25"/>
      <w:footerReference w:type="default" r:id="rId26"/>
      <w:headerReference w:type="first" r:id="rId27"/>
      <w:footerReference w:type="first" r:id="rId28"/>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F304" w14:textId="77777777" w:rsidR="0023584A" w:rsidRDefault="0023584A" w:rsidP="0013691B">
      <w:pPr>
        <w:spacing w:after="0" w:line="240" w:lineRule="auto"/>
      </w:pPr>
      <w:r>
        <w:separator/>
      </w:r>
    </w:p>
  </w:endnote>
  <w:endnote w:type="continuationSeparator" w:id="0">
    <w:p w14:paraId="5C26B4B0" w14:textId="77777777" w:rsidR="0023584A" w:rsidRDefault="0023584A" w:rsidP="0013691B">
      <w:pPr>
        <w:spacing w:after="0" w:line="240" w:lineRule="auto"/>
      </w:pPr>
      <w:r>
        <w:continuationSeparator/>
      </w:r>
    </w:p>
  </w:endnote>
  <w:endnote w:type="continuationNotice" w:id="1">
    <w:p w14:paraId="05979C6A" w14:textId="77777777" w:rsidR="0023584A" w:rsidRDefault="002358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0FB9" w14:textId="77777777" w:rsidR="00A23D15" w:rsidRDefault="00A23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30F4" w14:textId="3B1CF678" w:rsidR="00813D40" w:rsidRPr="004551D2" w:rsidRDefault="00813D40"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69B5" w14:textId="77777777" w:rsidR="00A23D15" w:rsidRDefault="00A23D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3629" w14:textId="77777777" w:rsidR="005225E4" w:rsidRDefault="00522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7D5E" w14:textId="77777777" w:rsidR="005225E4" w:rsidRDefault="005225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B16" w14:textId="77777777" w:rsidR="005225E4" w:rsidRDefault="005225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360786"/>
      <w:docPartObj>
        <w:docPartGallery w:val="Page Numbers (Bottom of Page)"/>
        <w:docPartUnique/>
      </w:docPartObj>
    </w:sdtPr>
    <w:sdtEndPr>
      <w:rPr>
        <w:noProof/>
      </w:rPr>
    </w:sdtEndPr>
    <w:sdtContent>
      <w:p w14:paraId="07974D90" w14:textId="276072FE" w:rsidR="00A23D15" w:rsidRDefault="00A23D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AE610" w14:textId="77777777" w:rsidR="00C86D6F" w:rsidRPr="000E4978" w:rsidRDefault="00C86D6F" w:rsidP="000E49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EA2F" w14:textId="77777777" w:rsidR="00C86D6F" w:rsidRDefault="00C86D6F" w:rsidP="00C8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F09B" w14:textId="77777777" w:rsidR="0023584A" w:rsidRDefault="0023584A" w:rsidP="0013691B">
      <w:pPr>
        <w:spacing w:after="0" w:line="240" w:lineRule="auto"/>
      </w:pPr>
      <w:r>
        <w:separator/>
      </w:r>
    </w:p>
  </w:footnote>
  <w:footnote w:type="continuationSeparator" w:id="0">
    <w:p w14:paraId="3C2BFE93" w14:textId="77777777" w:rsidR="0023584A" w:rsidRDefault="0023584A" w:rsidP="0013691B">
      <w:pPr>
        <w:spacing w:after="0" w:line="240" w:lineRule="auto"/>
      </w:pPr>
      <w:r>
        <w:continuationSeparator/>
      </w:r>
    </w:p>
  </w:footnote>
  <w:footnote w:type="continuationNotice" w:id="1">
    <w:p w14:paraId="5DA0198F" w14:textId="77777777" w:rsidR="0023584A" w:rsidRDefault="0023584A">
      <w:pPr>
        <w:spacing w:before="0" w:after="0" w:line="240" w:lineRule="auto"/>
      </w:pPr>
    </w:p>
  </w:footnote>
  <w:footnote w:id="2">
    <w:p w14:paraId="07C8C97E" w14:textId="76F0838D" w:rsidR="006240C2" w:rsidRPr="005819FD" w:rsidRDefault="006240C2">
      <w:pPr>
        <w:pStyle w:val="FootnoteText"/>
        <w:rPr>
          <w:lang w:val="es-ES"/>
        </w:rPr>
      </w:pPr>
      <w:r>
        <w:rPr>
          <w:rStyle w:val="FootnoteReference"/>
          <w:lang w:val="es"/>
        </w:rPr>
        <w:footnoteRef/>
      </w:r>
      <w:r>
        <w:rPr>
          <w:lang w:val="es"/>
        </w:rPr>
        <w:t xml:space="preserve"> Leyes: Referencia a los Reglamentos de subvenciones del Fondo Mundial (2014), artículo 8.4, 9.4 (enlace: https://www.theglobalfund.org/media/5682/core_grant_regulations_en.pdf</w:t>
      </w:r>
    </w:p>
  </w:footnote>
  <w:footnote w:id="3">
    <w:p w14:paraId="57C53426" w14:textId="5800A308" w:rsidR="00360A8E" w:rsidRPr="005819FD" w:rsidRDefault="00360A8E">
      <w:pPr>
        <w:pStyle w:val="FootnoteText"/>
        <w:rPr>
          <w:lang w:val="es-ES"/>
        </w:rPr>
      </w:pPr>
      <w:r>
        <w:rPr>
          <w:rStyle w:val="FootnoteReference"/>
          <w:lang w:val="es"/>
        </w:rPr>
        <w:footnoteRef/>
      </w:r>
      <w:r>
        <w:rPr>
          <w:lang w:val="es"/>
        </w:rPr>
        <w:t xml:space="preserve"> Por ejemplo, reglamentos de seguridad social, impuestos, actas de adquisiciones, eliminación de medicamentos.</w:t>
      </w:r>
    </w:p>
  </w:footnote>
  <w:footnote w:id="4">
    <w:p w14:paraId="4C562759" w14:textId="77777777" w:rsidR="003E6735" w:rsidRPr="005819FD" w:rsidRDefault="003E6735" w:rsidP="00A30A41">
      <w:pPr>
        <w:pStyle w:val="FootnoteText"/>
        <w:spacing w:before="0"/>
        <w:rPr>
          <w:rFonts w:ascii="Georgia" w:hAnsi="Georgia"/>
          <w:szCs w:val="16"/>
          <w:lang w:val="es-ES"/>
        </w:rPr>
      </w:pPr>
      <w:r>
        <w:rPr>
          <w:rStyle w:val="FootnoteReference"/>
          <w:rFonts w:ascii="Georgia" w:hAnsi="Georgia"/>
          <w:szCs w:val="16"/>
          <w:lang w:val="es"/>
        </w:rPr>
        <w:footnoteRef/>
      </w:r>
      <w:r>
        <w:rPr>
          <w:rFonts w:ascii="Georgia" w:hAnsi="Georgia"/>
          <w:szCs w:val="16"/>
          <w:lang w:val="es"/>
        </w:rPr>
        <w:t xml:space="preserve"> Tales como agentes fiscales, agentes fiduciarios y cualquier otra tercera parte a la que el Receptor Principal recurra como medida de mitigación de riesgos.</w:t>
      </w:r>
    </w:p>
  </w:footnote>
  <w:footnote w:id="5">
    <w:p w14:paraId="1ED3CAAC" w14:textId="5F309EE6" w:rsidR="005B36D6" w:rsidRPr="005819FD" w:rsidRDefault="005B36D6" w:rsidP="00A30A41">
      <w:pPr>
        <w:pStyle w:val="FootnoteText"/>
        <w:spacing w:before="0"/>
        <w:rPr>
          <w:rFonts w:ascii="Georgia" w:hAnsi="Georgia"/>
          <w:szCs w:val="16"/>
          <w:lang w:val="es-ES"/>
        </w:rPr>
      </w:pPr>
      <w:r>
        <w:rPr>
          <w:rStyle w:val="FootnoteReference"/>
          <w:rFonts w:ascii="Georgia" w:hAnsi="Georgia"/>
          <w:szCs w:val="16"/>
          <w:lang w:val="es"/>
        </w:rPr>
        <w:footnoteRef/>
      </w:r>
      <w:r>
        <w:rPr>
          <w:rFonts w:ascii="Georgia" w:hAnsi="Georgia"/>
          <w:szCs w:val="16"/>
          <w:lang w:val="es"/>
        </w:rPr>
        <w:t xml:space="preserve"> Por ejemplo, agentes fiduciarios, agentes fiscales, almacenes médicos centrales y otros. Sin embargo, se excluyen aquí los procesos gestionados por el Fondo Mundial, tales como el Mecanismo de Adquisiciones Conjuntas/Wambo.</w:t>
      </w:r>
    </w:p>
  </w:footnote>
  <w:footnote w:id="6">
    <w:p w14:paraId="094F38E7" w14:textId="77777777" w:rsidR="00382C10" w:rsidRPr="005819FD" w:rsidRDefault="00382C10" w:rsidP="00A30A41">
      <w:pPr>
        <w:pStyle w:val="FootnoteText"/>
        <w:spacing w:before="0"/>
        <w:rPr>
          <w:rFonts w:ascii="Georgia" w:hAnsi="Georgia"/>
          <w:szCs w:val="16"/>
          <w:lang w:val="es-ES"/>
        </w:rPr>
      </w:pPr>
      <w:r>
        <w:rPr>
          <w:rStyle w:val="FootnoteReference"/>
          <w:rFonts w:ascii="Georgia" w:hAnsi="Georgia"/>
          <w:szCs w:val="16"/>
          <w:lang w:val="es"/>
        </w:rPr>
        <w:footnoteRef/>
      </w:r>
      <w:r>
        <w:rPr>
          <w:rFonts w:ascii="Georgia" w:hAnsi="Georgia"/>
          <w:szCs w:val="16"/>
          <w:lang w:val="es"/>
        </w:rPr>
        <w:t xml:space="preserve"> Cuando el período auditado </w:t>
      </w:r>
      <w:r>
        <w:rPr>
          <w:rFonts w:ascii="Georgia" w:hAnsi="Georgia"/>
          <w:color w:val="000000"/>
          <w:szCs w:val="16"/>
          <w:lang w:val="es"/>
        </w:rPr>
        <w:t>se solapa con dos períodos de utilización de la asignación, los estados financieros elaborados por el Receptor Principal deben distinguir los ingresos y gastos de cada período de utilización de la asignación. Este será el caso para las ampliaciones financiadas con los siguientes fondos de asignación.</w:t>
      </w:r>
    </w:p>
  </w:footnote>
  <w:footnote w:id="7">
    <w:p w14:paraId="0AE7BC6B" w14:textId="2B7B5A00" w:rsidR="00BA3058" w:rsidRPr="005819FD" w:rsidRDefault="00BA3058" w:rsidP="00A30A41">
      <w:pPr>
        <w:pStyle w:val="FootnoteText"/>
        <w:spacing w:before="0"/>
        <w:rPr>
          <w:rFonts w:ascii="Georgia" w:hAnsi="Georgia"/>
          <w:szCs w:val="16"/>
          <w:lang w:val="es-ES"/>
        </w:rPr>
      </w:pPr>
      <w:r>
        <w:rPr>
          <w:rStyle w:val="FootnoteReference"/>
          <w:rFonts w:ascii="Georgia" w:hAnsi="Georgia"/>
          <w:szCs w:val="16"/>
          <w:lang w:val="es"/>
        </w:rPr>
        <w:footnoteRef/>
      </w:r>
      <w:r>
        <w:rPr>
          <w:rFonts w:ascii="Georgia" w:hAnsi="Georgia"/>
          <w:szCs w:val="16"/>
          <w:lang w:val="es"/>
        </w:rPr>
        <w:t xml:space="preserve"> </w:t>
      </w:r>
      <w:r>
        <w:rPr>
          <w:rFonts w:ascii="Georgia" w:hAnsi="Georgia"/>
          <w:lang w:val="es"/>
        </w:rPr>
        <w:t>El presupuesto oficial aprobado que debe utilizarse para la comunicación de la información financiera es el que estaba disponible para el ciclo de presentación de informes, a no ser que haya sido modificado mediante una carta de ejecución durante dicho ciclo.</w:t>
      </w:r>
    </w:p>
  </w:footnote>
  <w:footnote w:id="8">
    <w:p w14:paraId="19286758" w14:textId="589DDC65" w:rsidR="00571FD1" w:rsidRPr="005819FD" w:rsidRDefault="00571FD1" w:rsidP="00A30A41">
      <w:pPr>
        <w:pStyle w:val="FootnoteText"/>
        <w:spacing w:before="0"/>
        <w:rPr>
          <w:rFonts w:ascii="Georgia" w:hAnsi="Georgia"/>
          <w:lang w:val="es-ES"/>
        </w:rPr>
      </w:pPr>
      <w:r>
        <w:rPr>
          <w:rStyle w:val="FootnoteReference"/>
          <w:rFonts w:ascii="Georgia" w:hAnsi="Georgia"/>
          <w:szCs w:val="16"/>
          <w:lang w:val="es"/>
        </w:rPr>
        <w:footnoteRef/>
      </w:r>
      <w:r>
        <w:rPr>
          <w:rFonts w:ascii="Georgia" w:hAnsi="Georgia"/>
          <w:szCs w:val="16"/>
          <w:lang w:val="es"/>
        </w:rPr>
        <w:t xml:space="preserve"> Se deben proporcionar notas del estado de ingresos y gastos para los elementos del período en curso, los ajustes del período previo, y los sobrecostos </w:t>
      </w:r>
      <w:r>
        <w:rPr>
          <w:rFonts w:ascii="Georgia" w:hAnsi="Georgia"/>
          <w:lang w:val="es"/>
        </w:rPr>
        <w:t xml:space="preserve">en el período </w:t>
      </w:r>
      <w:r w:rsidR="002A21F8">
        <w:rPr>
          <w:rFonts w:ascii="Georgia" w:hAnsi="Georgia"/>
          <w:lang w:val="es"/>
        </w:rPr>
        <w:t>acumulado</w:t>
      </w:r>
      <w:r>
        <w:rPr>
          <w:rFonts w:ascii="Georgia" w:hAnsi="Georgia"/>
          <w:lang w:val="es"/>
        </w:rPr>
        <w:t xml:space="preserve">. </w:t>
      </w:r>
    </w:p>
  </w:footnote>
  <w:footnote w:id="9">
    <w:p w14:paraId="3F46A69F" w14:textId="77777777" w:rsidR="00382C10" w:rsidRPr="005819FD" w:rsidRDefault="00382C10" w:rsidP="00A30A41">
      <w:pPr>
        <w:pStyle w:val="FootnoteText"/>
        <w:spacing w:before="0"/>
        <w:rPr>
          <w:rFonts w:ascii="Georgia" w:hAnsi="Georgia"/>
          <w:lang w:val="es-ES"/>
        </w:rPr>
      </w:pPr>
      <w:r>
        <w:rPr>
          <w:rFonts w:ascii="Georgia" w:hAnsi="Georgia"/>
          <w:lang w:val="es"/>
        </w:rPr>
        <w:footnoteRef/>
      </w:r>
      <w:r>
        <w:rPr>
          <w:rFonts w:ascii="Georgia" w:hAnsi="Georgia"/>
          <w:lang w:val="es"/>
        </w:rPr>
        <w:t xml:space="preserve"> Anticipos al personal (con análisis de edad si fuese posible); depósitos reembolsables; cualquier saldo no conciliado; inventario de compromisos. Véanse los anexos 1 y 2.</w:t>
      </w:r>
    </w:p>
  </w:footnote>
  <w:footnote w:id="10">
    <w:p w14:paraId="1472FE27" w14:textId="77777777" w:rsidR="00382C10" w:rsidRPr="005819FD" w:rsidRDefault="00382C10" w:rsidP="00A30A41">
      <w:pPr>
        <w:pStyle w:val="FootnoteText"/>
        <w:spacing w:before="0"/>
        <w:rPr>
          <w:rFonts w:ascii="Georgia" w:hAnsi="Georgia"/>
          <w:szCs w:val="16"/>
          <w:lang w:val="es-ES"/>
        </w:rPr>
      </w:pPr>
      <w:r>
        <w:rPr>
          <w:rFonts w:ascii="Georgia" w:hAnsi="Georgia"/>
          <w:lang w:val="es"/>
        </w:rPr>
        <w:footnoteRef/>
      </w:r>
      <w:r>
        <w:rPr>
          <w:rFonts w:ascii="Georgia" w:hAnsi="Georgia"/>
          <w:lang w:val="es"/>
        </w:rPr>
        <w:t xml:space="preserve"> El Receptor Principal debe mantener un registro de activos fijos que el Equipo de País del Fondo Mundial y los diferentes proveedores de garantías podrán solicitar cuando así lo requieran</w:t>
      </w:r>
    </w:p>
  </w:footnote>
  <w:footnote w:id="11">
    <w:p w14:paraId="1A8CD039" w14:textId="4D63A602" w:rsidR="00382C10" w:rsidRPr="005819FD" w:rsidRDefault="00382C10" w:rsidP="00884E7D">
      <w:pPr>
        <w:pStyle w:val="FootnoteText"/>
        <w:spacing w:before="0"/>
        <w:rPr>
          <w:lang w:val="es-ES"/>
        </w:rPr>
      </w:pPr>
      <w:r>
        <w:rPr>
          <w:rStyle w:val="FootnoteReference"/>
          <w:rFonts w:ascii="Georgia" w:hAnsi="Georgia"/>
          <w:szCs w:val="16"/>
          <w:lang w:val="es"/>
        </w:rPr>
        <w:footnoteRef/>
      </w:r>
      <w:r>
        <w:rPr>
          <w:rFonts w:ascii="Georgia" w:hAnsi="Georgia"/>
          <w:szCs w:val="16"/>
          <w:lang w:val="es"/>
        </w:rPr>
        <w:t xml:space="preserve"> Consulte los datos fiscales del Receptor Principal que se describen en </w:t>
      </w:r>
      <w:hyperlink r:id="rId1" w:history="1">
        <w:r>
          <w:rPr>
            <w:rStyle w:val="Hyperlink"/>
            <w:rFonts w:ascii="Georgia" w:eastAsia="MS Gothic" w:hAnsi="Georgia"/>
            <w:szCs w:val="16"/>
            <w:lang w:val="es"/>
          </w:rPr>
          <w:t>las directrices generales sobre el PU/DR</w:t>
        </w:r>
      </w:hyperlink>
      <w:r>
        <w:rPr>
          <w:rFonts w:ascii="Georgia" w:hAnsi="Georgia"/>
          <w:szCs w:val="16"/>
          <w:lang w:val="es"/>
        </w:rPr>
        <w:t xml:space="preserve"> para más información.</w:t>
      </w:r>
    </w:p>
  </w:footnote>
  <w:footnote w:id="12">
    <w:p w14:paraId="24FD55A7" w14:textId="4CAB2C63" w:rsidR="00FB664D" w:rsidRPr="005819FD" w:rsidRDefault="00FB664D">
      <w:pPr>
        <w:pStyle w:val="FootnoteText"/>
        <w:rPr>
          <w:rFonts w:ascii="Georgia" w:hAnsi="Georgia"/>
          <w:lang w:val="es-ES"/>
        </w:rPr>
      </w:pPr>
      <w:r>
        <w:rPr>
          <w:rStyle w:val="FootnoteReference"/>
          <w:lang w:val="es"/>
        </w:rPr>
        <w:footnoteRef/>
      </w:r>
      <w:r>
        <w:rPr>
          <w:lang w:val="es"/>
        </w:rPr>
        <w:t xml:space="preserve"> </w:t>
      </w:r>
      <w:r>
        <w:rPr>
          <w:rFonts w:ascii="Georgia" w:hAnsi="Georgia"/>
          <w:lang w:val="es"/>
        </w:rPr>
        <w:t xml:space="preserve">Cartas de ejecución, acuerdos de los SR y el resto de </w:t>
      </w:r>
      <w:proofErr w:type="gramStart"/>
      <w:r>
        <w:rPr>
          <w:rFonts w:ascii="Georgia" w:hAnsi="Georgia"/>
          <w:lang w:val="es"/>
        </w:rPr>
        <w:t>acuerdos</w:t>
      </w:r>
      <w:proofErr w:type="gramEnd"/>
      <w:r>
        <w:rPr>
          <w:rFonts w:ascii="Georgia" w:hAnsi="Georgia"/>
          <w:lang w:val="es"/>
        </w:rPr>
        <w:t xml:space="preserve"> jurídicos pertinentes para la ejecución de la subvención.</w:t>
      </w:r>
    </w:p>
  </w:footnote>
  <w:footnote w:id="13">
    <w:p w14:paraId="190D1C81" w14:textId="77777777" w:rsidR="00382C10" w:rsidRPr="005819FD" w:rsidRDefault="00382C10" w:rsidP="00382C10">
      <w:pPr>
        <w:pStyle w:val="FootnoteText"/>
        <w:jc w:val="both"/>
        <w:rPr>
          <w:rFonts w:ascii="Georgia" w:hAnsi="Georgia"/>
          <w:szCs w:val="16"/>
          <w:lang w:val="es-ES"/>
        </w:rPr>
      </w:pPr>
      <w:r>
        <w:rPr>
          <w:rStyle w:val="FootnoteReference"/>
          <w:rFonts w:ascii="Georgia" w:hAnsi="Georgia"/>
          <w:szCs w:val="16"/>
          <w:lang w:val="es"/>
        </w:rPr>
        <w:footnoteRef/>
      </w:r>
      <w:r>
        <w:rPr>
          <w:rFonts w:ascii="Georgia" w:hAnsi="Georgia"/>
          <w:szCs w:val="16"/>
          <w:lang w:val="es"/>
        </w:rPr>
        <w:t xml:space="preserve"> Procedentes de intereses generados, ingresos, ganancias derivadas del tipo de cambio, recuperación de impuestos, recuperación de fondos a partir de gastos no elegibles o de otros conceptos, etc.</w:t>
      </w:r>
    </w:p>
  </w:footnote>
  <w:footnote w:id="14">
    <w:p w14:paraId="7B90BC1D" w14:textId="77777777" w:rsidR="00BD60A8" w:rsidRPr="005819FD" w:rsidRDefault="00BD60A8" w:rsidP="00BD60A8">
      <w:pPr>
        <w:pStyle w:val="FootnoteText"/>
        <w:jc w:val="both"/>
        <w:rPr>
          <w:rFonts w:ascii="Georgia" w:hAnsi="Georgia"/>
          <w:szCs w:val="16"/>
          <w:lang w:val="es-ES"/>
        </w:rPr>
      </w:pPr>
      <w:r>
        <w:rPr>
          <w:rStyle w:val="FootnoteReference"/>
          <w:lang w:val="es"/>
        </w:rPr>
        <w:footnoteRef/>
      </w:r>
      <w:r>
        <w:rPr>
          <w:lang w:val="es"/>
        </w:rPr>
        <w:t xml:space="preserve"> </w:t>
      </w:r>
      <w:r>
        <w:rPr>
          <w:rFonts w:ascii="Georgia" w:hAnsi="Georgia"/>
          <w:szCs w:val="16"/>
          <w:lang w:val="es"/>
        </w:rPr>
        <w:t xml:space="preserve">Por ejemplo, agentes fiduciarios, agentes fiscales, almacenes médicos centrales y otros. Sin embargo, se excluyen aquí los procesos gestionados por el Fondo Mundial, como el Mecanismo de Adquisiciones Conjuntas/Wambo. </w:t>
      </w:r>
    </w:p>
  </w:footnote>
  <w:footnote w:id="15">
    <w:p w14:paraId="29885546" w14:textId="77777777" w:rsidR="00382C10" w:rsidRPr="005819FD" w:rsidRDefault="00382C10" w:rsidP="00382C10">
      <w:pPr>
        <w:pStyle w:val="FootnoteText"/>
        <w:rPr>
          <w:lang w:val="es-ES"/>
        </w:rPr>
      </w:pPr>
      <w:r>
        <w:rPr>
          <w:rStyle w:val="FootnoteReference"/>
          <w:lang w:val="es"/>
        </w:rPr>
        <w:footnoteRef/>
      </w:r>
      <w:r>
        <w:rPr>
          <w:lang w:val="es"/>
        </w:rPr>
        <w:t xml:space="preserve"> El especialista en finanzas del Fondo Mundial puede colaborar directamente con el auditor en aquellas instancias en las que la independencia y la naturaleza imprevisible de las auditorías pueden verse comprometidas al compartir el plan de auditoría detallado con el Receptor Principal.</w:t>
      </w:r>
    </w:p>
  </w:footnote>
  <w:footnote w:id="16">
    <w:p w14:paraId="16338D28" w14:textId="77777777" w:rsidR="00382C10" w:rsidRPr="005819FD" w:rsidRDefault="00382C10" w:rsidP="00382C10">
      <w:pPr>
        <w:pStyle w:val="FootnoteText"/>
        <w:rPr>
          <w:szCs w:val="16"/>
          <w:lang w:val="es"/>
        </w:rPr>
      </w:pPr>
      <w:r>
        <w:rPr>
          <w:rStyle w:val="FootnoteReference"/>
          <w:szCs w:val="16"/>
          <w:lang w:val="es"/>
        </w:rPr>
        <w:footnoteRef/>
      </w:r>
      <w:r>
        <w:rPr>
          <w:szCs w:val="16"/>
          <w:lang w:val="es"/>
        </w:rPr>
        <w:t xml:space="preserve"> </w:t>
      </w:r>
      <w:r>
        <w:rPr>
          <w:rFonts w:ascii="Georgia" w:hAnsi="Georgia"/>
          <w:color w:val="323439"/>
          <w:szCs w:val="16"/>
          <w:lang w:val="es"/>
        </w:rPr>
        <w:t>Cuando diseñe y lleve a cabo pruebas de controles el..." &lt;https://www.coursehero.com/file/p13iulp/When-designing-and-performing-tests-of-c&gt;.</w:t>
      </w:r>
    </w:p>
  </w:footnote>
  <w:footnote w:id="17">
    <w:p w14:paraId="52BAF6B2" w14:textId="77777777" w:rsidR="00382C10" w:rsidRPr="005819FD" w:rsidRDefault="00382C10" w:rsidP="00382C10">
      <w:pPr>
        <w:pStyle w:val="FootnoteText"/>
        <w:rPr>
          <w:lang w:val="es-ES"/>
        </w:rPr>
      </w:pPr>
      <w:r>
        <w:rPr>
          <w:rStyle w:val="FootnoteReference"/>
          <w:lang w:val="es"/>
        </w:rPr>
        <w:footnoteRef/>
      </w:r>
      <w:r>
        <w:rPr>
          <w:lang w:val="es"/>
        </w:rPr>
        <w:t xml:space="preserve"> </w:t>
      </w:r>
      <w:r>
        <w:rPr>
          <w:rFonts w:ascii="Georgia" w:hAnsi="Georgia"/>
          <w:szCs w:val="16"/>
          <w:lang w:val="es"/>
        </w:rPr>
        <w:t>Todas las deficiencias relativas a la gestión de programas, gestión de existencias, gestión financiera, etc. que no han sido descritas en las otras cuatro secciones de la carta de gestión.</w:t>
      </w:r>
    </w:p>
  </w:footnote>
  <w:footnote w:id="18">
    <w:p w14:paraId="6996E939" w14:textId="363881A6" w:rsidR="00382C10" w:rsidRPr="005819FD" w:rsidRDefault="00382C10" w:rsidP="00382C10">
      <w:pPr>
        <w:pStyle w:val="FootnoteText"/>
        <w:rPr>
          <w:lang w:val="es-ES"/>
        </w:rPr>
      </w:pPr>
      <w:r>
        <w:rPr>
          <w:rStyle w:val="FootnoteReference"/>
          <w:lang w:val="es"/>
        </w:rPr>
        <w:footnoteRef/>
      </w:r>
      <w:r>
        <w:rPr>
          <w:lang w:val="es"/>
        </w:rPr>
        <w:t xml:space="preserve"> </w:t>
      </w:r>
      <w:hyperlink r:id="rId2" w:history="1">
        <w:r>
          <w:rPr>
            <w:rStyle w:val="Hyperlink"/>
            <w:rFonts w:ascii="Georgia" w:hAnsi="Georgia"/>
            <w:sz w:val="18"/>
            <w:lang w:val="es"/>
          </w:rPr>
          <w:t>https://www.theglobalfund.org/media/7540/financial_financialriskmanagement_guidelines_en.pdf?u=636784020850000000</w:t>
        </w:r>
      </w:hyperlink>
      <w:r>
        <w:rPr>
          <w:rFonts w:ascii="Georgia" w:hAnsi="Georgia"/>
          <w:sz w:val="18"/>
          <w:lang w:val="es"/>
        </w:rPr>
        <w:t xml:space="preserve"> </w:t>
      </w:r>
    </w:p>
  </w:footnote>
  <w:footnote w:id="19">
    <w:p w14:paraId="71530AFE" w14:textId="77777777" w:rsidR="00B70820" w:rsidRPr="005819FD" w:rsidRDefault="00B70820" w:rsidP="00B70820">
      <w:pPr>
        <w:pStyle w:val="FootnoteText"/>
        <w:rPr>
          <w:lang w:val="es-ES"/>
        </w:rPr>
      </w:pPr>
      <w:r>
        <w:rPr>
          <w:rStyle w:val="FootnoteReference"/>
          <w:rFonts w:ascii="Georgia" w:hAnsi="Georgia"/>
          <w:szCs w:val="16"/>
          <w:lang w:val="es"/>
        </w:rPr>
        <w:footnoteRef/>
      </w:r>
      <w:r>
        <w:rPr>
          <w:rFonts w:ascii="Georgia" w:hAnsi="Georgia"/>
          <w:szCs w:val="16"/>
          <w:lang w:val="es"/>
        </w:rPr>
        <w:t xml:space="preserve"> Esta responsabilidad recae sobre el auditor y debe mencionarse en el contrato entre el Receptor Principal y el auditor.</w:t>
      </w:r>
    </w:p>
  </w:footnote>
  <w:footnote w:id="20">
    <w:p w14:paraId="19D9AA03" w14:textId="77777777" w:rsidR="00B70820" w:rsidRPr="005819FD" w:rsidRDefault="00B70820" w:rsidP="00B70820">
      <w:pPr>
        <w:pStyle w:val="FootnoteText"/>
        <w:rPr>
          <w:rFonts w:ascii="Georgia" w:hAnsi="Georgia"/>
          <w:szCs w:val="16"/>
          <w:lang w:val="es-ES"/>
        </w:rPr>
      </w:pPr>
      <w:r>
        <w:rPr>
          <w:rStyle w:val="FootnoteReference"/>
          <w:lang w:val="es"/>
        </w:rPr>
        <w:footnoteRef/>
      </w:r>
      <w:r>
        <w:rPr>
          <w:lang w:val="es"/>
        </w:rPr>
        <w:t xml:space="preserve"> </w:t>
      </w:r>
      <w:r>
        <w:rPr>
          <w:rFonts w:ascii="Georgia" w:hAnsi="Georgia"/>
          <w:szCs w:val="16"/>
          <w:lang w:val="es"/>
        </w:rPr>
        <w:t>Cuando el Receptor Principal selecciona directamente a la firma auditora y, por lo tanto, esta tiene una relación contractual directa con el Receptor Principal, se espera que el contrato incluya una cláusula en la que se requiera que el auditor envíe directamente una copia electrónica del informe final de auditoría al Fondo Mundial.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AB4" w14:textId="77777777" w:rsidR="00A23D15" w:rsidRDefault="00A2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EF8" w14:textId="50518468" w:rsidR="00813D40" w:rsidRPr="00235CA2" w:rsidRDefault="00A23D15" w:rsidP="00D642CC">
    <w:pPr>
      <w:pStyle w:val="HeaderHidden"/>
    </w:pPr>
    <w:r>
      <w:rPr>
        <w:noProof/>
      </w:rPr>
      <w:drawing>
        <wp:inline distT="0" distB="0" distL="0" distR="0" wp14:anchorId="5BD47751" wp14:editId="00F24BFA">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BF225B">
      <w:rPr>
        <w:noProof/>
        <w:lang w:val="es"/>
      </w:rPr>
      <mc:AlternateContent>
        <mc:Choice Requires="wps">
          <w:drawing>
            <wp:anchor distT="0" distB="0" distL="114300" distR="114300" simplePos="0" relativeHeight="251658240" behindDoc="1" locked="0" layoutInCell="1" allowOverlap="1" wp14:anchorId="454DDF58" wp14:editId="48FFB440">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3CAD"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BF225B">
      <w:rPr>
        <w:lang w:val="es"/>
      </w:rPr>
      <w:t xml:space="preserve">   </w:t>
    </w:r>
    <w:sdt>
      <w:sdtPr>
        <w:alias w:val="Form.ReportCountry"/>
        <w:tag w:val="{&quot;templafy&quot;:{&quot;id&quot;:&quot;154e721f-2830-4e3a-8cba-2846ae88e9e4&quot;}}"/>
        <w:id w:val="794109981"/>
      </w:sdtPr>
      <w:sdtEndPr/>
      <w:sdtContent>
        <w:r w:rsidR="00BF225B">
          <w:rPr>
            <w:lang w:val="es"/>
          </w:rPr>
          <w:t>Suiza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434A" w14:textId="77777777" w:rsidR="00A23D15" w:rsidRDefault="00A23D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DBF9" w14:textId="77777777" w:rsidR="005225E4" w:rsidRDefault="00522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855A" w14:textId="77777777" w:rsidR="005225E4" w:rsidRDefault="005225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CDB" w14:textId="77777777" w:rsidR="005225E4" w:rsidRDefault="005225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C9D7" w14:textId="77777777" w:rsidR="00C86D6F" w:rsidRDefault="00C86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05B3" w14:textId="77777777" w:rsidR="00C86D6F" w:rsidRDefault="00C8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4602C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3E0AC6"/>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35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D996121"/>
    <w:multiLevelType w:val="hybridMultilevel"/>
    <w:tmpl w:val="BAD29AEE"/>
    <w:lvl w:ilvl="0" w:tplc="FFFFFFFF">
      <w:start w:val="1"/>
      <w:numFmt w:val="lowerRoman"/>
      <w:lvlText w:val="%1."/>
      <w:lvlJc w:val="right"/>
      <w:pPr>
        <w:ind w:left="1898"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0DE9629D"/>
    <w:multiLevelType w:val="hybridMultilevel"/>
    <w:tmpl w:val="E4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3D5E2B"/>
    <w:multiLevelType w:val="multilevel"/>
    <w:tmpl w:val="C146372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127A0B5F"/>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EC779E8"/>
    <w:multiLevelType w:val="hybridMultilevel"/>
    <w:tmpl w:val="2EF4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597250"/>
    <w:multiLevelType w:val="hybridMultilevel"/>
    <w:tmpl w:val="35F0BAB2"/>
    <w:lvl w:ilvl="0" w:tplc="D4B2612C">
      <w:start w:val="1"/>
      <w:numFmt w:val="lowerRoman"/>
      <w:lvlText w:val="%1."/>
      <w:lvlJc w:val="left"/>
      <w:pPr>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A55F0E"/>
    <w:multiLevelType w:val="hybridMultilevel"/>
    <w:tmpl w:val="CB0E7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2A9F5D0B"/>
    <w:multiLevelType w:val="hybridMultilevel"/>
    <w:tmpl w:val="7A9ADE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30"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4"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3D0C3ABE"/>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42C12F05"/>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46F1001"/>
    <w:multiLevelType w:val="hybridMultilevel"/>
    <w:tmpl w:val="84BA3C72"/>
    <w:lvl w:ilvl="0" w:tplc="32649716">
      <w:start w:val="1"/>
      <w:numFmt w:val="decimal"/>
      <w:lvlText w:val="(%1)"/>
      <w:lvlJc w:val="left"/>
      <w:pPr>
        <w:ind w:left="1800" w:hanging="360"/>
      </w:pPr>
      <w:rPr>
        <w:rFonts w:ascii="Arial" w:eastAsiaTheme="minorHAnsi" w:hAnsi="Arial"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40" w15:restartNumberingAfterBreak="0">
    <w:nsid w:val="4A3F15B7"/>
    <w:multiLevelType w:val="hybridMultilevel"/>
    <w:tmpl w:val="4A1214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5140DB"/>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4ECF31C0"/>
    <w:multiLevelType w:val="multilevel"/>
    <w:tmpl w:val="17A0D06E"/>
    <w:numStyleLink w:val="NumbListAlpha"/>
  </w:abstractNum>
  <w:abstractNum w:abstractNumId="43" w15:restartNumberingAfterBreak="0">
    <w:nsid w:val="572C6AE6"/>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5858017D"/>
    <w:multiLevelType w:val="hybridMultilevel"/>
    <w:tmpl w:val="84F646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0893ECA"/>
    <w:multiLevelType w:val="hybridMultilevel"/>
    <w:tmpl w:val="236A043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5693F12"/>
    <w:multiLevelType w:val="multilevel"/>
    <w:tmpl w:val="0809001F"/>
    <w:numStyleLink w:val="111111"/>
  </w:abstractNum>
  <w:abstractNum w:abstractNumId="50" w15:restartNumberingAfterBreak="0">
    <w:nsid w:val="661B722E"/>
    <w:multiLevelType w:val="hybridMultilevel"/>
    <w:tmpl w:val="63AE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A052D2"/>
    <w:multiLevelType w:val="hybridMultilevel"/>
    <w:tmpl w:val="110C78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6E115EB"/>
    <w:multiLevelType w:val="hybridMultilevel"/>
    <w:tmpl w:val="39200D0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7851D95"/>
    <w:multiLevelType w:val="hybridMultilevel"/>
    <w:tmpl w:val="3CA04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6"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C46FBF"/>
    <w:multiLevelType w:val="multilevel"/>
    <w:tmpl w:val="A7760DB6"/>
    <w:lvl w:ilvl="0">
      <w:start w:val="6"/>
      <w:numFmt w:val="decimal"/>
      <w:lvlText w:val="%1."/>
      <w:lvlJc w:val="left"/>
      <w:pPr>
        <w:ind w:left="525" w:hanging="525"/>
      </w:pPr>
      <w:rPr>
        <w:rFonts w:hint="default"/>
      </w:rPr>
    </w:lvl>
    <w:lvl w:ilvl="1">
      <w:start w:val="2"/>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58" w15:restartNumberingAfterBreak="0">
    <w:nsid w:val="7C534272"/>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7CA23680"/>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7E526880"/>
    <w:multiLevelType w:val="multilevel"/>
    <w:tmpl w:val="688ADA5A"/>
    <w:lvl w:ilvl="0">
      <w:start w:val="1"/>
      <w:numFmt w:val="decimal"/>
      <w:lvlText w:val="%1."/>
      <w:lvlJc w:val="left"/>
      <w:pPr>
        <w:ind w:left="360" w:hanging="360"/>
      </w:pPr>
      <w:rPr>
        <w:rFonts w:hint="default"/>
        <w:b w:val="0"/>
        <w:color w:val="auto"/>
      </w:rPr>
    </w:lvl>
    <w:lvl w:ilvl="1">
      <w:start w:val="1"/>
      <w:numFmt w:val="bullet"/>
      <w:lvlText w:val=""/>
      <w:lvlJc w:val="left"/>
      <w:pPr>
        <w:ind w:left="644" w:hanging="360"/>
      </w:pPr>
      <w:rPr>
        <w:rFonts w:ascii="Symbol" w:hAnsi="Symbol"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39"/>
  </w:num>
  <w:num w:numId="13">
    <w:abstractNumId w:val="29"/>
  </w:num>
  <w:num w:numId="14">
    <w:abstractNumId w:val="42"/>
  </w:num>
  <w:num w:numId="15">
    <w:abstractNumId w:val="32"/>
  </w:num>
  <w:num w:numId="16">
    <w:abstractNumId w:val="47"/>
  </w:num>
  <w:num w:numId="17">
    <w:abstractNumId w:val="22"/>
  </w:num>
  <w:num w:numId="18">
    <w:abstractNumId w:val="45"/>
  </w:num>
  <w:num w:numId="19">
    <w:abstractNumId w:val="54"/>
  </w:num>
  <w:num w:numId="20">
    <w:abstractNumId w:val="11"/>
  </w:num>
  <w:num w:numId="21">
    <w:abstractNumId w:val="46"/>
  </w:num>
  <w:num w:numId="22">
    <w:abstractNumId w:val="15"/>
  </w:num>
  <w:num w:numId="23">
    <w:abstractNumId w:val="27"/>
  </w:num>
  <w:num w:numId="24">
    <w:abstractNumId w:val="31"/>
  </w:num>
  <w:num w:numId="25">
    <w:abstractNumId w:val="56"/>
  </w:num>
  <w:num w:numId="26">
    <w:abstractNumId w:val="23"/>
  </w:num>
  <w:num w:numId="27">
    <w:abstractNumId w:val="20"/>
  </w:num>
  <w:num w:numId="28">
    <w:abstractNumId w:val="37"/>
  </w:num>
  <w:num w:numId="29">
    <w:abstractNumId w:val="49"/>
  </w:num>
  <w:num w:numId="30">
    <w:abstractNumId w:val="34"/>
  </w:num>
  <w:num w:numId="31">
    <w:abstractNumId w:val="41"/>
  </w:num>
  <w:num w:numId="32">
    <w:abstractNumId w:val="25"/>
  </w:num>
  <w:num w:numId="33">
    <w:abstractNumId w:val="14"/>
  </w:num>
  <w:num w:numId="34">
    <w:abstractNumId w:val="50"/>
  </w:num>
  <w:num w:numId="35">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num>
  <w:num w:numId="37">
    <w:abstractNumId w:val="30"/>
  </w:num>
  <w:num w:numId="38">
    <w:abstractNumId w:val="59"/>
  </w:num>
  <w:num w:numId="39">
    <w:abstractNumId w:val="58"/>
  </w:num>
  <w:num w:numId="40">
    <w:abstractNumId w:val="12"/>
  </w:num>
  <w:num w:numId="41">
    <w:abstractNumId w:val="55"/>
  </w:num>
  <w:num w:numId="42">
    <w:abstractNumId w:val="19"/>
  </w:num>
  <w:num w:numId="43">
    <w:abstractNumId w:val="16"/>
  </w:num>
  <w:num w:numId="44">
    <w:abstractNumId w:val="24"/>
  </w:num>
  <w:num w:numId="45">
    <w:abstractNumId w:val="35"/>
  </w:num>
  <w:num w:numId="46">
    <w:abstractNumId w:val="57"/>
  </w:num>
  <w:num w:numId="47">
    <w:abstractNumId w:val="51"/>
  </w:num>
  <w:num w:numId="48">
    <w:abstractNumId w:val="40"/>
  </w:num>
  <w:num w:numId="49">
    <w:abstractNumId w:val="38"/>
  </w:num>
  <w:num w:numId="50">
    <w:abstractNumId w:val="17"/>
  </w:num>
  <w:num w:numId="51">
    <w:abstractNumId w:val="43"/>
  </w:num>
  <w:num w:numId="52">
    <w:abstractNumId w:val="21"/>
  </w:num>
  <w:num w:numId="53">
    <w:abstractNumId w:val="28"/>
  </w:num>
  <w:num w:numId="54">
    <w:abstractNumId w:val="0"/>
  </w:num>
  <w:num w:numId="55">
    <w:abstractNumId w:val="36"/>
  </w:num>
  <w:num w:numId="56">
    <w:abstractNumId w:val="18"/>
  </w:num>
  <w:num w:numId="57">
    <w:abstractNumId w:val="53"/>
  </w:num>
  <w:num w:numId="58">
    <w:abstractNumId w:val="52"/>
  </w:num>
  <w:num w:numId="59">
    <w:abstractNumId w:val="48"/>
  </w:num>
  <w:num w:numId="60">
    <w:abstractNumId w:val="44"/>
  </w:num>
  <w:num w:numId="61">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52F2"/>
    <w:rsid w:val="000067AC"/>
    <w:rsid w:val="00010133"/>
    <w:rsid w:val="00012F13"/>
    <w:rsid w:val="00017D80"/>
    <w:rsid w:val="00017F52"/>
    <w:rsid w:val="0002192E"/>
    <w:rsid w:val="000226A7"/>
    <w:rsid w:val="00024539"/>
    <w:rsid w:val="00024DFE"/>
    <w:rsid w:val="0002551E"/>
    <w:rsid w:val="000267A8"/>
    <w:rsid w:val="00026B43"/>
    <w:rsid w:val="00027D89"/>
    <w:rsid w:val="00030686"/>
    <w:rsid w:val="000316DE"/>
    <w:rsid w:val="00031C81"/>
    <w:rsid w:val="00032078"/>
    <w:rsid w:val="00034984"/>
    <w:rsid w:val="00034E28"/>
    <w:rsid w:val="00036120"/>
    <w:rsid w:val="00036344"/>
    <w:rsid w:val="00043D3C"/>
    <w:rsid w:val="0004461B"/>
    <w:rsid w:val="00047C4F"/>
    <w:rsid w:val="00053545"/>
    <w:rsid w:val="00054E5F"/>
    <w:rsid w:val="00056E88"/>
    <w:rsid w:val="00057049"/>
    <w:rsid w:val="00057F5E"/>
    <w:rsid w:val="000602BB"/>
    <w:rsid w:val="000620B0"/>
    <w:rsid w:val="0007788A"/>
    <w:rsid w:val="000856BC"/>
    <w:rsid w:val="00094905"/>
    <w:rsid w:val="00095F63"/>
    <w:rsid w:val="000A4685"/>
    <w:rsid w:val="000A5BE7"/>
    <w:rsid w:val="000A74C4"/>
    <w:rsid w:val="000C377B"/>
    <w:rsid w:val="000C497C"/>
    <w:rsid w:val="000C647F"/>
    <w:rsid w:val="000D31C7"/>
    <w:rsid w:val="000D44C6"/>
    <w:rsid w:val="000E28F1"/>
    <w:rsid w:val="000E3E09"/>
    <w:rsid w:val="000E4501"/>
    <w:rsid w:val="000E4978"/>
    <w:rsid w:val="000F0155"/>
    <w:rsid w:val="000F0BA3"/>
    <w:rsid w:val="000F2926"/>
    <w:rsid w:val="000F5BD5"/>
    <w:rsid w:val="000F624E"/>
    <w:rsid w:val="0010420E"/>
    <w:rsid w:val="0010483A"/>
    <w:rsid w:val="001058DC"/>
    <w:rsid w:val="00107CFE"/>
    <w:rsid w:val="00110820"/>
    <w:rsid w:val="00111A91"/>
    <w:rsid w:val="00112594"/>
    <w:rsid w:val="00112A88"/>
    <w:rsid w:val="00124591"/>
    <w:rsid w:val="00124E80"/>
    <w:rsid w:val="0012655F"/>
    <w:rsid w:val="0012769E"/>
    <w:rsid w:val="00132F2F"/>
    <w:rsid w:val="00133325"/>
    <w:rsid w:val="001368F0"/>
    <w:rsid w:val="0013691B"/>
    <w:rsid w:val="00151D19"/>
    <w:rsid w:val="001540E2"/>
    <w:rsid w:val="00156CDE"/>
    <w:rsid w:val="00160BC4"/>
    <w:rsid w:val="00166783"/>
    <w:rsid w:val="00171C99"/>
    <w:rsid w:val="0017514D"/>
    <w:rsid w:val="00176F35"/>
    <w:rsid w:val="0017701E"/>
    <w:rsid w:val="00180D66"/>
    <w:rsid w:val="001867E1"/>
    <w:rsid w:val="00192384"/>
    <w:rsid w:val="00197AE7"/>
    <w:rsid w:val="001A1AEC"/>
    <w:rsid w:val="001A6B7A"/>
    <w:rsid w:val="001B3DFB"/>
    <w:rsid w:val="001B5CE7"/>
    <w:rsid w:val="001C0304"/>
    <w:rsid w:val="001C2D41"/>
    <w:rsid w:val="001C3DD1"/>
    <w:rsid w:val="001C5BE2"/>
    <w:rsid w:val="001D03A5"/>
    <w:rsid w:val="001D0512"/>
    <w:rsid w:val="001D2F69"/>
    <w:rsid w:val="001D6E4E"/>
    <w:rsid w:val="001E61DF"/>
    <w:rsid w:val="001E6466"/>
    <w:rsid w:val="001F2280"/>
    <w:rsid w:val="001F40C5"/>
    <w:rsid w:val="001F6EC5"/>
    <w:rsid w:val="002108BB"/>
    <w:rsid w:val="00211667"/>
    <w:rsid w:val="0021210A"/>
    <w:rsid w:val="00221562"/>
    <w:rsid w:val="0023584A"/>
    <w:rsid w:val="00235CA2"/>
    <w:rsid w:val="00236822"/>
    <w:rsid w:val="0024020E"/>
    <w:rsid w:val="00242CC6"/>
    <w:rsid w:val="0025351E"/>
    <w:rsid w:val="00254D2F"/>
    <w:rsid w:val="00255BBC"/>
    <w:rsid w:val="00263DAA"/>
    <w:rsid w:val="00265599"/>
    <w:rsid w:val="00266AEC"/>
    <w:rsid w:val="002715D4"/>
    <w:rsid w:val="0027163F"/>
    <w:rsid w:val="00276608"/>
    <w:rsid w:val="0028039D"/>
    <w:rsid w:val="00280C82"/>
    <w:rsid w:val="002812B3"/>
    <w:rsid w:val="00281CBC"/>
    <w:rsid w:val="00284808"/>
    <w:rsid w:val="0029088E"/>
    <w:rsid w:val="002938CB"/>
    <w:rsid w:val="002944FC"/>
    <w:rsid w:val="0029796C"/>
    <w:rsid w:val="002A21F8"/>
    <w:rsid w:val="002A4684"/>
    <w:rsid w:val="002A470A"/>
    <w:rsid w:val="002A4EDE"/>
    <w:rsid w:val="002A5B89"/>
    <w:rsid w:val="002A5F87"/>
    <w:rsid w:val="002A72DB"/>
    <w:rsid w:val="002A7635"/>
    <w:rsid w:val="002B07E9"/>
    <w:rsid w:val="002B0D03"/>
    <w:rsid w:val="002B0F35"/>
    <w:rsid w:val="002C0359"/>
    <w:rsid w:val="002C35FE"/>
    <w:rsid w:val="002C3CEB"/>
    <w:rsid w:val="002C4720"/>
    <w:rsid w:val="002C6BE6"/>
    <w:rsid w:val="002D090E"/>
    <w:rsid w:val="002D2EC9"/>
    <w:rsid w:val="002D6078"/>
    <w:rsid w:val="002E1A92"/>
    <w:rsid w:val="002E49C8"/>
    <w:rsid w:val="002E5CD0"/>
    <w:rsid w:val="002F128A"/>
    <w:rsid w:val="002F2F7C"/>
    <w:rsid w:val="00300240"/>
    <w:rsid w:val="00304D3B"/>
    <w:rsid w:val="0030550D"/>
    <w:rsid w:val="00311525"/>
    <w:rsid w:val="00314800"/>
    <w:rsid w:val="00317149"/>
    <w:rsid w:val="00320D74"/>
    <w:rsid w:val="00322DF0"/>
    <w:rsid w:val="003309BE"/>
    <w:rsid w:val="00331A02"/>
    <w:rsid w:val="00340CE6"/>
    <w:rsid w:val="0034309F"/>
    <w:rsid w:val="00345067"/>
    <w:rsid w:val="00350E08"/>
    <w:rsid w:val="00352FF8"/>
    <w:rsid w:val="00353DF3"/>
    <w:rsid w:val="0035565B"/>
    <w:rsid w:val="00360006"/>
    <w:rsid w:val="00360A8E"/>
    <w:rsid w:val="00361033"/>
    <w:rsid w:val="00364326"/>
    <w:rsid w:val="00371BCC"/>
    <w:rsid w:val="00372598"/>
    <w:rsid w:val="00372605"/>
    <w:rsid w:val="00373BC7"/>
    <w:rsid w:val="00376D16"/>
    <w:rsid w:val="00380FEC"/>
    <w:rsid w:val="00381A40"/>
    <w:rsid w:val="00382C10"/>
    <w:rsid w:val="0038486D"/>
    <w:rsid w:val="003860A7"/>
    <w:rsid w:val="00395287"/>
    <w:rsid w:val="00395D11"/>
    <w:rsid w:val="003A0F8A"/>
    <w:rsid w:val="003A1482"/>
    <w:rsid w:val="003A3051"/>
    <w:rsid w:val="003A5D31"/>
    <w:rsid w:val="003A5EB1"/>
    <w:rsid w:val="003B09C8"/>
    <w:rsid w:val="003B0E2B"/>
    <w:rsid w:val="003B24C9"/>
    <w:rsid w:val="003B3969"/>
    <w:rsid w:val="003C1CD1"/>
    <w:rsid w:val="003C1E46"/>
    <w:rsid w:val="003C3342"/>
    <w:rsid w:val="003C4568"/>
    <w:rsid w:val="003C5B08"/>
    <w:rsid w:val="003D70F4"/>
    <w:rsid w:val="003D7D64"/>
    <w:rsid w:val="003E6735"/>
    <w:rsid w:val="003F167F"/>
    <w:rsid w:val="003F3D8D"/>
    <w:rsid w:val="003F7966"/>
    <w:rsid w:val="00412BF7"/>
    <w:rsid w:val="00421004"/>
    <w:rsid w:val="004235BB"/>
    <w:rsid w:val="00425993"/>
    <w:rsid w:val="00426FC0"/>
    <w:rsid w:val="004274B3"/>
    <w:rsid w:val="00431BDF"/>
    <w:rsid w:val="004345DC"/>
    <w:rsid w:val="00437B9B"/>
    <w:rsid w:val="00437DC3"/>
    <w:rsid w:val="004431F4"/>
    <w:rsid w:val="004456B9"/>
    <w:rsid w:val="00446D33"/>
    <w:rsid w:val="00447D5C"/>
    <w:rsid w:val="00451CBE"/>
    <w:rsid w:val="004551D2"/>
    <w:rsid w:val="0046456B"/>
    <w:rsid w:val="00464F55"/>
    <w:rsid w:val="00471A12"/>
    <w:rsid w:val="004728F7"/>
    <w:rsid w:val="004735F7"/>
    <w:rsid w:val="00475AC1"/>
    <w:rsid w:val="0047667D"/>
    <w:rsid w:val="00477290"/>
    <w:rsid w:val="00481462"/>
    <w:rsid w:val="004839FB"/>
    <w:rsid w:val="00485711"/>
    <w:rsid w:val="004A68CE"/>
    <w:rsid w:val="004B567E"/>
    <w:rsid w:val="004B5ED1"/>
    <w:rsid w:val="004C0886"/>
    <w:rsid w:val="004C2368"/>
    <w:rsid w:val="004C2C89"/>
    <w:rsid w:val="004C3AA3"/>
    <w:rsid w:val="004C47FD"/>
    <w:rsid w:val="004C6F75"/>
    <w:rsid w:val="004D4827"/>
    <w:rsid w:val="004E13DB"/>
    <w:rsid w:val="004E52D0"/>
    <w:rsid w:val="004E5BCE"/>
    <w:rsid w:val="004E60C5"/>
    <w:rsid w:val="004F1A1E"/>
    <w:rsid w:val="004F722B"/>
    <w:rsid w:val="005122AE"/>
    <w:rsid w:val="005225E4"/>
    <w:rsid w:val="0052280E"/>
    <w:rsid w:val="005307EB"/>
    <w:rsid w:val="00536F20"/>
    <w:rsid w:val="0053784E"/>
    <w:rsid w:val="0055523F"/>
    <w:rsid w:val="00556BDD"/>
    <w:rsid w:val="005578E8"/>
    <w:rsid w:val="00557B32"/>
    <w:rsid w:val="00560074"/>
    <w:rsid w:val="00560096"/>
    <w:rsid w:val="00560302"/>
    <w:rsid w:val="00562B3D"/>
    <w:rsid w:val="005659E0"/>
    <w:rsid w:val="00565E4B"/>
    <w:rsid w:val="00566A78"/>
    <w:rsid w:val="0056720B"/>
    <w:rsid w:val="00570100"/>
    <w:rsid w:val="00571FD1"/>
    <w:rsid w:val="0057214A"/>
    <w:rsid w:val="00573B63"/>
    <w:rsid w:val="00576254"/>
    <w:rsid w:val="00576CB9"/>
    <w:rsid w:val="005819FD"/>
    <w:rsid w:val="0058212C"/>
    <w:rsid w:val="00582AE4"/>
    <w:rsid w:val="005839BA"/>
    <w:rsid w:val="0058415B"/>
    <w:rsid w:val="00587A88"/>
    <w:rsid w:val="00590303"/>
    <w:rsid w:val="00590FDA"/>
    <w:rsid w:val="0059139C"/>
    <w:rsid w:val="0059236F"/>
    <w:rsid w:val="005945F4"/>
    <w:rsid w:val="00597331"/>
    <w:rsid w:val="005A2CE0"/>
    <w:rsid w:val="005A62EB"/>
    <w:rsid w:val="005A796F"/>
    <w:rsid w:val="005A7DE2"/>
    <w:rsid w:val="005B03D1"/>
    <w:rsid w:val="005B36D6"/>
    <w:rsid w:val="005B41EB"/>
    <w:rsid w:val="005B6EE2"/>
    <w:rsid w:val="005B7327"/>
    <w:rsid w:val="005C0A4E"/>
    <w:rsid w:val="005C45A8"/>
    <w:rsid w:val="005C578D"/>
    <w:rsid w:val="005D02D2"/>
    <w:rsid w:val="005D5419"/>
    <w:rsid w:val="005D5BB9"/>
    <w:rsid w:val="005E0753"/>
    <w:rsid w:val="005E0A7E"/>
    <w:rsid w:val="005E0AB3"/>
    <w:rsid w:val="005E5299"/>
    <w:rsid w:val="005E6E44"/>
    <w:rsid w:val="005F6D34"/>
    <w:rsid w:val="005F6F4C"/>
    <w:rsid w:val="006002DD"/>
    <w:rsid w:val="0060284C"/>
    <w:rsid w:val="00605944"/>
    <w:rsid w:val="00611E60"/>
    <w:rsid w:val="0061579D"/>
    <w:rsid w:val="00624012"/>
    <w:rsid w:val="006240C2"/>
    <w:rsid w:val="00631A84"/>
    <w:rsid w:val="00632C5A"/>
    <w:rsid w:val="0063467F"/>
    <w:rsid w:val="00642451"/>
    <w:rsid w:val="00644132"/>
    <w:rsid w:val="00644ADF"/>
    <w:rsid w:val="0064597B"/>
    <w:rsid w:val="006533BD"/>
    <w:rsid w:val="00664626"/>
    <w:rsid w:val="00667DF0"/>
    <w:rsid w:val="00673972"/>
    <w:rsid w:val="00673D5D"/>
    <w:rsid w:val="00675C66"/>
    <w:rsid w:val="006819BF"/>
    <w:rsid w:val="00681ABF"/>
    <w:rsid w:val="00681C43"/>
    <w:rsid w:val="00682DBB"/>
    <w:rsid w:val="00687329"/>
    <w:rsid w:val="00687F10"/>
    <w:rsid w:val="0069648A"/>
    <w:rsid w:val="0069691A"/>
    <w:rsid w:val="006A4DDA"/>
    <w:rsid w:val="006B0EDD"/>
    <w:rsid w:val="006B5DB9"/>
    <w:rsid w:val="006C1655"/>
    <w:rsid w:val="006C1EB9"/>
    <w:rsid w:val="006C3058"/>
    <w:rsid w:val="006C32D0"/>
    <w:rsid w:val="006C35D2"/>
    <w:rsid w:val="006C6843"/>
    <w:rsid w:val="006C7E9A"/>
    <w:rsid w:val="006D1AA0"/>
    <w:rsid w:val="006D2EB6"/>
    <w:rsid w:val="006D65C9"/>
    <w:rsid w:val="006D7841"/>
    <w:rsid w:val="006D7EAB"/>
    <w:rsid w:val="006E0942"/>
    <w:rsid w:val="006E0D2E"/>
    <w:rsid w:val="006E1753"/>
    <w:rsid w:val="006E1B58"/>
    <w:rsid w:val="006E3D54"/>
    <w:rsid w:val="006E7C09"/>
    <w:rsid w:val="006F0F13"/>
    <w:rsid w:val="006F4A01"/>
    <w:rsid w:val="006F57EB"/>
    <w:rsid w:val="00700ACD"/>
    <w:rsid w:val="00701275"/>
    <w:rsid w:val="007043C7"/>
    <w:rsid w:val="007054AB"/>
    <w:rsid w:val="007071B3"/>
    <w:rsid w:val="00707FB9"/>
    <w:rsid w:val="00710A12"/>
    <w:rsid w:val="00712E23"/>
    <w:rsid w:val="007143DD"/>
    <w:rsid w:val="0071450B"/>
    <w:rsid w:val="00716F58"/>
    <w:rsid w:val="00716FE0"/>
    <w:rsid w:val="00717C37"/>
    <w:rsid w:val="007208E7"/>
    <w:rsid w:val="00722EFD"/>
    <w:rsid w:val="007245FB"/>
    <w:rsid w:val="00726548"/>
    <w:rsid w:val="00734802"/>
    <w:rsid w:val="00735941"/>
    <w:rsid w:val="00747B50"/>
    <w:rsid w:val="00752810"/>
    <w:rsid w:val="00752CE2"/>
    <w:rsid w:val="007555F1"/>
    <w:rsid w:val="00756AC1"/>
    <w:rsid w:val="0075707F"/>
    <w:rsid w:val="0076015E"/>
    <w:rsid w:val="0076079C"/>
    <w:rsid w:val="00760AF4"/>
    <w:rsid w:val="00764D36"/>
    <w:rsid w:val="00764FC0"/>
    <w:rsid w:val="00772E32"/>
    <w:rsid w:val="007755BB"/>
    <w:rsid w:val="00777F70"/>
    <w:rsid w:val="007813B2"/>
    <w:rsid w:val="007829D9"/>
    <w:rsid w:val="0078478C"/>
    <w:rsid w:val="00785849"/>
    <w:rsid w:val="00793307"/>
    <w:rsid w:val="00793C28"/>
    <w:rsid w:val="007975EB"/>
    <w:rsid w:val="007A293B"/>
    <w:rsid w:val="007A518A"/>
    <w:rsid w:val="007A59CE"/>
    <w:rsid w:val="007A5D57"/>
    <w:rsid w:val="007A7BB2"/>
    <w:rsid w:val="007B1543"/>
    <w:rsid w:val="007B36AF"/>
    <w:rsid w:val="007B6197"/>
    <w:rsid w:val="007C3CB9"/>
    <w:rsid w:val="007D0506"/>
    <w:rsid w:val="007D7CBF"/>
    <w:rsid w:val="007E29DC"/>
    <w:rsid w:val="007E37AE"/>
    <w:rsid w:val="007E48AD"/>
    <w:rsid w:val="007E7A31"/>
    <w:rsid w:val="007F1274"/>
    <w:rsid w:val="007F54D5"/>
    <w:rsid w:val="007F5AAD"/>
    <w:rsid w:val="007F6CC2"/>
    <w:rsid w:val="00805279"/>
    <w:rsid w:val="00805EC4"/>
    <w:rsid w:val="00806E22"/>
    <w:rsid w:val="008129C4"/>
    <w:rsid w:val="00813D40"/>
    <w:rsid w:val="00816383"/>
    <w:rsid w:val="00821CED"/>
    <w:rsid w:val="00822D0E"/>
    <w:rsid w:val="00823A34"/>
    <w:rsid w:val="00825DE6"/>
    <w:rsid w:val="008273F1"/>
    <w:rsid w:val="008311F0"/>
    <w:rsid w:val="00831C21"/>
    <w:rsid w:val="00833466"/>
    <w:rsid w:val="00833E07"/>
    <w:rsid w:val="00842CFC"/>
    <w:rsid w:val="00847A6F"/>
    <w:rsid w:val="008505E8"/>
    <w:rsid w:val="008514B0"/>
    <w:rsid w:val="00851B9B"/>
    <w:rsid w:val="00852F33"/>
    <w:rsid w:val="0085571A"/>
    <w:rsid w:val="008624D5"/>
    <w:rsid w:val="008664A6"/>
    <w:rsid w:val="00866542"/>
    <w:rsid w:val="0088070E"/>
    <w:rsid w:val="0088382F"/>
    <w:rsid w:val="00884E7D"/>
    <w:rsid w:val="00887B21"/>
    <w:rsid w:val="00895B59"/>
    <w:rsid w:val="008964F3"/>
    <w:rsid w:val="008A127E"/>
    <w:rsid w:val="008A1A56"/>
    <w:rsid w:val="008A2070"/>
    <w:rsid w:val="008A46D1"/>
    <w:rsid w:val="008B4CC6"/>
    <w:rsid w:val="008B60DB"/>
    <w:rsid w:val="008C0962"/>
    <w:rsid w:val="008D395A"/>
    <w:rsid w:val="008D5007"/>
    <w:rsid w:val="008D5732"/>
    <w:rsid w:val="008F288D"/>
    <w:rsid w:val="008F4574"/>
    <w:rsid w:val="008F5EAB"/>
    <w:rsid w:val="009026A1"/>
    <w:rsid w:val="00906555"/>
    <w:rsid w:val="00907677"/>
    <w:rsid w:val="00910134"/>
    <w:rsid w:val="00910C10"/>
    <w:rsid w:val="00914968"/>
    <w:rsid w:val="009152FE"/>
    <w:rsid w:val="00915C6F"/>
    <w:rsid w:val="0091642A"/>
    <w:rsid w:val="009171CA"/>
    <w:rsid w:val="009203E3"/>
    <w:rsid w:val="00926549"/>
    <w:rsid w:val="00927C50"/>
    <w:rsid w:val="0093555B"/>
    <w:rsid w:val="00935AAA"/>
    <w:rsid w:val="00936531"/>
    <w:rsid w:val="00940386"/>
    <w:rsid w:val="00944D6C"/>
    <w:rsid w:val="00947366"/>
    <w:rsid w:val="00957A4D"/>
    <w:rsid w:val="00962AF2"/>
    <w:rsid w:val="0096386B"/>
    <w:rsid w:val="00974855"/>
    <w:rsid w:val="0097595A"/>
    <w:rsid w:val="00985D05"/>
    <w:rsid w:val="0098682A"/>
    <w:rsid w:val="009877E0"/>
    <w:rsid w:val="009909A0"/>
    <w:rsid w:val="00993C24"/>
    <w:rsid w:val="009949E7"/>
    <w:rsid w:val="00996267"/>
    <w:rsid w:val="009A28E5"/>
    <w:rsid w:val="009B79EC"/>
    <w:rsid w:val="009C0CB8"/>
    <w:rsid w:val="009C556C"/>
    <w:rsid w:val="009D0F23"/>
    <w:rsid w:val="009E288E"/>
    <w:rsid w:val="009E5565"/>
    <w:rsid w:val="009F0C9D"/>
    <w:rsid w:val="009F0FF7"/>
    <w:rsid w:val="009F1F7D"/>
    <w:rsid w:val="00A1065A"/>
    <w:rsid w:val="00A10DAE"/>
    <w:rsid w:val="00A13A2F"/>
    <w:rsid w:val="00A13C52"/>
    <w:rsid w:val="00A1759F"/>
    <w:rsid w:val="00A23D15"/>
    <w:rsid w:val="00A24EE3"/>
    <w:rsid w:val="00A30A41"/>
    <w:rsid w:val="00A32029"/>
    <w:rsid w:val="00A33760"/>
    <w:rsid w:val="00A34A20"/>
    <w:rsid w:val="00A34A55"/>
    <w:rsid w:val="00A372CB"/>
    <w:rsid w:val="00A375C8"/>
    <w:rsid w:val="00A37A96"/>
    <w:rsid w:val="00A425D8"/>
    <w:rsid w:val="00A4492A"/>
    <w:rsid w:val="00A46E26"/>
    <w:rsid w:val="00A47B31"/>
    <w:rsid w:val="00A61607"/>
    <w:rsid w:val="00A622A2"/>
    <w:rsid w:val="00A624BA"/>
    <w:rsid w:val="00A70C41"/>
    <w:rsid w:val="00A77789"/>
    <w:rsid w:val="00A77CCB"/>
    <w:rsid w:val="00A80BD5"/>
    <w:rsid w:val="00A812B3"/>
    <w:rsid w:val="00A82818"/>
    <w:rsid w:val="00A96DA4"/>
    <w:rsid w:val="00A9703B"/>
    <w:rsid w:val="00AA1E00"/>
    <w:rsid w:val="00AA5AD5"/>
    <w:rsid w:val="00AA6133"/>
    <w:rsid w:val="00AB02C4"/>
    <w:rsid w:val="00AB1F21"/>
    <w:rsid w:val="00AB3A8B"/>
    <w:rsid w:val="00AB526A"/>
    <w:rsid w:val="00AB5890"/>
    <w:rsid w:val="00AC1364"/>
    <w:rsid w:val="00AC63A3"/>
    <w:rsid w:val="00AD0C39"/>
    <w:rsid w:val="00AD1642"/>
    <w:rsid w:val="00AD2F00"/>
    <w:rsid w:val="00AD56CB"/>
    <w:rsid w:val="00AD7D8D"/>
    <w:rsid w:val="00AF0705"/>
    <w:rsid w:val="00AF2473"/>
    <w:rsid w:val="00AF2DA7"/>
    <w:rsid w:val="00AF35F5"/>
    <w:rsid w:val="00AF6E7A"/>
    <w:rsid w:val="00B12340"/>
    <w:rsid w:val="00B13C86"/>
    <w:rsid w:val="00B178AB"/>
    <w:rsid w:val="00B21302"/>
    <w:rsid w:val="00B25E0F"/>
    <w:rsid w:val="00B266D3"/>
    <w:rsid w:val="00B27189"/>
    <w:rsid w:val="00B332B6"/>
    <w:rsid w:val="00B352D4"/>
    <w:rsid w:val="00B37249"/>
    <w:rsid w:val="00B42FDA"/>
    <w:rsid w:val="00B44958"/>
    <w:rsid w:val="00B45357"/>
    <w:rsid w:val="00B46101"/>
    <w:rsid w:val="00B47047"/>
    <w:rsid w:val="00B50125"/>
    <w:rsid w:val="00B501E9"/>
    <w:rsid w:val="00B51243"/>
    <w:rsid w:val="00B57683"/>
    <w:rsid w:val="00B60A27"/>
    <w:rsid w:val="00B60E89"/>
    <w:rsid w:val="00B60E99"/>
    <w:rsid w:val="00B61207"/>
    <w:rsid w:val="00B64EDE"/>
    <w:rsid w:val="00B64FBE"/>
    <w:rsid w:val="00B66D07"/>
    <w:rsid w:val="00B677ED"/>
    <w:rsid w:val="00B70820"/>
    <w:rsid w:val="00B775DD"/>
    <w:rsid w:val="00B84B60"/>
    <w:rsid w:val="00B856FA"/>
    <w:rsid w:val="00B86356"/>
    <w:rsid w:val="00B87750"/>
    <w:rsid w:val="00B87E2A"/>
    <w:rsid w:val="00B92A30"/>
    <w:rsid w:val="00B95BE3"/>
    <w:rsid w:val="00B9612C"/>
    <w:rsid w:val="00BA0F29"/>
    <w:rsid w:val="00BA3058"/>
    <w:rsid w:val="00BA4B58"/>
    <w:rsid w:val="00BB5046"/>
    <w:rsid w:val="00BB77C6"/>
    <w:rsid w:val="00BB782B"/>
    <w:rsid w:val="00BC0019"/>
    <w:rsid w:val="00BC19AC"/>
    <w:rsid w:val="00BC27FD"/>
    <w:rsid w:val="00BC64C5"/>
    <w:rsid w:val="00BC72B6"/>
    <w:rsid w:val="00BC7B0F"/>
    <w:rsid w:val="00BC7C82"/>
    <w:rsid w:val="00BD19BF"/>
    <w:rsid w:val="00BD2C7B"/>
    <w:rsid w:val="00BD30C2"/>
    <w:rsid w:val="00BD3604"/>
    <w:rsid w:val="00BD3A7F"/>
    <w:rsid w:val="00BD60A8"/>
    <w:rsid w:val="00BD6B50"/>
    <w:rsid w:val="00BD6D82"/>
    <w:rsid w:val="00BE65F0"/>
    <w:rsid w:val="00BE7C71"/>
    <w:rsid w:val="00BF225B"/>
    <w:rsid w:val="00C051EF"/>
    <w:rsid w:val="00C07CCC"/>
    <w:rsid w:val="00C1165F"/>
    <w:rsid w:val="00C14B28"/>
    <w:rsid w:val="00C1660A"/>
    <w:rsid w:val="00C16F89"/>
    <w:rsid w:val="00C23105"/>
    <w:rsid w:val="00C2360D"/>
    <w:rsid w:val="00C23706"/>
    <w:rsid w:val="00C24A3B"/>
    <w:rsid w:val="00C24EAA"/>
    <w:rsid w:val="00C25475"/>
    <w:rsid w:val="00C26026"/>
    <w:rsid w:val="00C30E24"/>
    <w:rsid w:val="00C34C62"/>
    <w:rsid w:val="00C3775C"/>
    <w:rsid w:val="00C4116A"/>
    <w:rsid w:val="00C4472E"/>
    <w:rsid w:val="00C47397"/>
    <w:rsid w:val="00C5093C"/>
    <w:rsid w:val="00C54386"/>
    <w:rsid w:val="00C551FC"/>
    <w:rsid w:val="00C57578"/>
    <w:rsid w:val="00C60AEE"/>
    <w:rsid w:val="00C61E4A"/>
    <w:rsid w:val="00C66623"/>
    <w:rsid w:val="00C7034A"/>
    <w:rsid w:val="00C72877"/>
    <w:rsid w:val="00C72B6D"/>
    <w:rsid w:val="00C73482"/>
    <w:rsid w:val="00C819E4"/>
    <w:rsid w:val="00C85162"/>
    <w:rsid w:val="00C85331"/>
    <w:rsid w:val="00C86D6F"/>
    <w:rsid w:val="00C878D1"/>
    <w:rsid w:val="00C902D6"/>
    <w:rsid w:val="00C93D01"/>
    <w:rsid w:val="00C950BA"/>
    <w:rsid w:val="00C97EB7"/>
    <w:rsid w:val="00CA1714"/>
    <w:rsid w:val="00CA1E2E"/>
    <w:rsid w:val="00CA5409"/>
    <w:rsid w:val="00CB4FE0"/>
    <w:rsid w:val="00CC3BBE"/>
    <w:rsid w:val="00CC5931"/>
    <w:rsid w:val="00CD1422"/>
    <w:rsid w:val="00CD21D3"/>
    <w:rsid w:val="00CE665B"/>
    <w:rsid w:val="00CF0398"/>
    <w:rsid w:val="00CF653A"/>
    <w:rsid w:val="00D0150D"/>
    <w:rsid w:val="00D01ED5"/>
    <w:rsid w:val="00D02555"/>
    <w:rsid w:val="00D02C53"/>
    <w:rsid w:val="00D03921"/>
    <w:rsid w:val="00D0609C"/>
    <w:rsid w:val="00D06ADA"/>
    <w:rsid w:val="00D17C80"/>
    <w:rsid w:val="00D2013D"/>
    <w:rsid w:val="00D2042D"/>
    <w:rsid w:val="00D213B6"/>
    <w:rsid w:val="00D21B9E"/>
    <w:rsid w:val="00D25CEA"/>
    <w:rsid w:val="00D30BFB"/>
    <w:rsid w:val="00D32899"/>
    <w:rsid w:val="00D332E1"/>
    <w:rsid w:val="00D367E0"/>
    <w:rsid w:val="00D371A8"/>
    <w:rsid w:val="00D42C6A"/>
    <w:rsid w:val="00D44A82"/>
    <w:rsid w:val="00D52411"/>
    <w:rsid w:val="00D55974"/>
    <w:rsid w:val="00D642CC"/>
    <w:rsid w:val="00D65150"/>
    <w:rsid w:val="00D65318"/>
    <w:rsid w:val="00D66BDA"/>
    <w:rsid w:val="00D745D5"/>
    <w:rsid w:val="00D8165D"/>
    <w:rsid w:val="00D81893"/>
    <w:rsid w:val="00D82FB3"/>
    <w:rsid w:val="00D840CF"/>
    <w:rsid w:val="00D8465B"/>
    <w:rsid w:val="00D84839"/>
    <w:rsid w:val="00D96E24"/>
    <w:rsid w:val="00D97E30"/>
    <w:rsid w:val="00DA048F"/>
    <w:rsid w:val="00DA29F5"/>
    <w:rsid w:val="00DA4ADC"/>
    <w:rsid w:val="00DA4E2E"/>
    <w:rsid w:val="00DA5357"/>
    <w:rsid w:val="00DB05E7"/>
    <w:rsid w:val="00DC3966"/>
    <w:rsid w:val="00DC4870"/>
    <w:rsid w:val="00DC5D8C"/>
    <w:rsid w:val="00DD0773"/>
    <w:rsid w:val="00DD1D6F"/>
    <w:rsid w:val="00DD3591"/>
    <w:rsid w:val="00DE0B02"/>
    <w:rsid w:val="00DE30B6"/>
    <w:rsid w:val="00DE77A9"/>
    <w:rsid w:val="00DF06DD"/>
    <w:rsid w:val="00DF075F"/>
    <w:rsid w:val="00DF30D0"/>
    <w:rsid w:val="00DF47F7"/>
    <w:rsid w:val="00E0073C"/>
    <w:rsid w:val="00E042C2"/>
    <w:rsid w:val="00E0721B"/>
    <w:rsid w:val="00E15857"/>
    <w:rsid w:val="00E17D58"/>
    <w:rsid w:val="00E20290"/>
    <w:rsid w:val="00E2273A"/>
    <w:rsid w:val="00E23250"/>
    <w:rsid w:val="00E23E6E"/>
    <w:rsid w:val="00E25D5C"/>
    <w:rsid w:val="00E3129E"/>
    <w:rsid w:val="00E32D25"/>
    <w:rsid w:val="00E359A0"/>
    <w:rsid w:val="00E3620A"/>
    <w:rsid w:val="00E362B7"/>
    <w:rsid w:val="00E42F93"/>
    <w:rsid w:val="00E441D8"/>
    <w:rsid w:val="00E46296"/>
    <w:rsid w:val="00E5065A"/>
    <w:rsid w:val="00E70B66"/>
    <w:rsid w:val="00E7369B"/>
    <w:rsid w:val="00E75AFA"/>
    <w:rsid w:val="00E80958"/>
    <w:rsid w:val="00E828F5"/>
    <w:rsid w:val="00E86B64"/>
    <w:rsid w:val="00E87135"/>
    <w:rsid w:val="00E905D7"/>
    <w:rsid w:val="00E9784E"/>
    <w:rsid w:val="00EA1162"/>
    <w:rsid w:val="00EA1625"/>
    <w:rsid w:val="00EA2920"/>
    <w:rsid w:val="00EA6E13"/>
    <w:rsid w:val="00EA79CB"/>
    <w:rsid w:val="00EB020F"/>
    <w:rsid w:val="00EB51A7"/>
    <w:rsid w:val="00EC286C"/>
    <w:rsid w:val="00EC7C57"/>
    <w:rsid w:val="00ED34BF"/>
    <w:rsid w:val="00ED4E2E"/>
    <w:rsid w:val="00ED605F"/>
    <w:rsid w:val="00ED65CB"/>
    <w:rsid w:val="00EE151E"/>
    <w:rsid w:val="00EE2E56"/>
    <w:rsid w:val="00EE3606"/>
    <w:rsid w:val="00EE5E6F"/>
    <w:rsid w:val="00EE6809"/>
    <w:rsid w:val="00EF472A"/>
    <w:rsid w:val="00EF4EA5"/>
    <w:rsid w:val="00EF5D05"/>
    <w:rsid w:val="00F042C8"/>
    <w:rsid w:val="00F1127F"/>
    <w:rsid w:val="00F14BB2"/>
    <w:rsid w:val="00F15A7A"/>
    <w:rsid w:val="00F16CEC"/>
    <w:rsid w:val="00F175BD"/>
    <w:rsid w:val="00F21267"/>
    <w:rsid w:val="00F21DC8"/>
    <w:rsid w:val="00F2214F"/>
    <w:rsid w:val="00F253A4"/>
    <w:rsid w:val="00F27E94"/>
    <w:rsid w:val="00F30301"/>
    <w:rsid w:val="00F34650"/>
    <w:rsid w:val="00F34A2D"/>
    <w:rsid w:val="00F34F88"/>
    <w:rsid w:val="00F43CBF"/>
    <w:rsid w:val="00F46906"/>
    <w:rsid w:val="00F46E13"/>
    <w:rsid w:val="00F471A8"/>
    <w:rsid w:val="00F477FB"/>
    <w:rsid w:val="00F527CC"/>
    <w:rsid w:val="00F53CBA"/>
    <w:rsid w:val="00F60FA7"/>
    <w:rsid w:val="00F612F1"/>
    <w:rsid w:val="00F63C52"/>
    <w:rsid w:val="00F641D4"/>
    <w:rsid w:val="00F67310"/>
    <w:rsid w:val="00F67350"/>
    <w:rsid w:val="00F67B89"/>
    <w:rsid w:val="00F765E2"/>
    <w:rsid w:val="00F818DD"/>
    <w:rsid w:val="00F832B9"/>
    <w:rsid w:val="00F85CE5"/>
    <w:rsid w:val="00F90F48"/>
    <w:rsid w:val="00F965F8"/>
    <w:rsid w:val="00F96CF3"/>
    <w:rsid w:val="00FA0DF8"/>
    <w:rsid w:val="00FA1525"/>
    <w:rsid w:val="00FA37F0"/>
    <w:rsid w:val="00FA3D5E"/>
    <w:rsid w:val="00FA4331"/>
    <w:rsid w:val="00FA549F"/>
    <w:rsid w:val="00FB0A24"/>
    <w:rsid w:val="00FB1E10"/>
    <w:rsid w:val="00FB4D40"/>
    <w:rsid w:val="00FB56CA"/>
    <w:rsid w:val="00FB5E6F"/>
    <w:rsid w:val="00FB664D"/>
    <w:rsid w:val="00FD1D2C"/>
    <w:rsid w:val="00FD4536"/>
    <w:rsid w:val="00FD51BA"/>
    <w:rsid w:val="00FD5535"/>
    <w:rsid w:val="00FD575E"/>
    <w:rsid w:val="00FE180F"/>
    <w:rsid w:val="00FE28CB"/>
    <w:rsid w:val="00FE5118"/>
    <w:rsid w:val="00FF0D3E"/>
    <w:rsid w:val="00FF5584"/>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B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table" w:customStyle="1" w:styleId="TableGrid20">
    <w:name w:val="Table Grid2"/>
    <w:basedOn w:val="TableNormal"/>
    <w:next w:val="TableGrid"/>
    <w:uiPriority w:val="39"/>
    <w:rsid w:val="00382C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lobalFund2">
    <w:name w:val="Global Fund2"/>
    <w:basedOn w:val="TableNormal"/>
    <w:uiPriority w:val="99"/>
    <w:rsid w:val="00382C10"/>
    <w:pPr>
      <w:spacing w:before="0"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GlobalFund12">
    <w:name w:val="Global Fund 12"/>
    <w:basedOn w:val="GlobalFund"/>
    <w:uiPriority w:val="99"/>
    <w:rsid w:val="00382C10"/>
    <w:pPr>
      <w:spacing w:before="0"/>
    </w:pPr>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ColorfulGrid2">
    <w:name w:val="Colorful Grid2"/>
    <w:basedOn w:val="TableNormal"/>
    <w:next w:val="ColorfulGrid"/>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customStyle="1" w:styleId="ColorfulGrid-Accent12">
    <w:name w:val="Colorful Grid - Accent 12"/>
    <w:basedOn w:val="TableNormal"/>
    <w:next w:val="ColorfulGrid-Accent1"/>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customStyle="1" w:styleId="ColorfulGrid-Accent22">
    <w:name w:val="Colorful Grid - Accent 22"/>
    <w:basedOn w:val="TableNormal"/>
    <w:next w:val="ColorfulGrid-Accent2"/>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customStyle="1" w:styleId="ColorfulGrid-Accent32">
    <w:name w:val="Colorful Grid - Accent 32"/>
    <w:basedOn w:val="TableNormal"/>
    <w:next w:val="ColorfulGrid-Accent3"/>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customStyle="1" w:styleId="ColorfulGrid-Accent42">
    <w:name w:val="Colorful Grid - Accent 42"/>
    <w:basedOn w:val="TableNormal"/>
    <w:next w:val="ColorfulGrid-Accent4"/>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customStyle="1" w:styleId="ColorfulGrid-Accent52">
    <w:name w:val="Colorful Grid - Accent 52"/>
    <w:basedOn w:val="TableNormal"/>
    <w:next w:val="ColorfulGrid-Accent5"/>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customStyle="1" w:styleId="ColorfulGrid-Accent62">
    <w:name w:val="Colorful Grid - Accent 62"/>
    <w:basedOn w:val="TableNormal"/>
    <w:next w:val="ColorfulGrid-Accent6"/>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customStyle="1" w:styleId="ColorfulList2">
    <w:name w:val="Colorful List2"/>
    <w:basedOn w:val="TableNormal"/>
    <w:next w:val="ColorfulList"/>
    <w:uiPriority w:val="72"/>
    <w:semiHidden/>
    <w:unhideWhenUsed/>
    <w:rsid w:val="00382C10"/>
    <w:pPr>
      <w:spacing w:before="0"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customStyle="1" w:styleId="ColorfulList-Accent12">
    <w:name w:val="Colorful List - Accent 12"/>
    <w:basedOn w:val="TableNormal"/>
    <w:next w:val="ColorfulList-Accent1"/>
    <w:uiPriority w:val="72"/>
    <w:semiHidden/>
    <w:unhideWhenUsed/>
    <w:rsid w:val="00382C10"/>
    <w:pPr>
      <w:spacing w:before="0"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customStyle="1" w:styleId="ColorfulList-Accent22">
    <w:name w:val="Colorful List - Accent 22"/>
    <w:basedOn w:val="TableNormal"/>
    <w:next w:val="ColorfulList-Accent2"/>
    <w:uiPriority w:val="72"/>
    <w:semiHidden/>
    <w:unhideWhenUsed/>
    <w:rsid w:val="00382C10"/>
    <w:pPr>
      <w:spacing w:before="0"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customStyle="1" w:styleId="ColorfulList-Accent32">
    <w:name w:val="Colorful List - Accent 32"/>
    <w:basedOn w:val="TableNormal"/>
    <w:next w:val="ColorfulList-Accent3"/>
    <w:uiPriority w:val="72"/>
    <w:semiHidden/>
    <w:unhideWhenUsed/>
    <w:rsid w:val="00382C10"/>
    <w:pPr>
      <w:spacing w:before="0"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customStyle="1" w:styleId="ColorfulList-Accent42">
    <w:name w:val="Colorful List - Accent 42"/>
    <w:basedOn w:val="TableNormal"/>
    <w:next w:val="ColorfulList-Accent4"/>
    <w:uiPriority w:val="72"/>
    <w:semiHidden/>
    <w:unhideWhenUsed/>
    <w:rsid w:val="00382C10"/>
    <w:pPr>
      <w:spacing w:before="0"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customStyle="1" w:styleId="ColorfulList-Accent52">
    <w:name w:val="Colorful List - Accent 52"/>
    <w:basedOn w:val="TableNormal"/>
    <w:next w:val="ColorfulList-Accent5"/>
    <w:uiPriority w:val="72"/>
    <w:semiHidden/>
    <w:unhideWhenUsed/>
    <w:rsid w:val="00382C10"/>
    <w:pPr>
      <w:spacing w:before="0"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customStyle="1" w:styleId="ColorfulList-Accent62">
    <w:name w:val="Colorful List - Accent 62"/>
    <w:basedOn w:val="TableNormal"/>
    <w:next w:val="ColorfulList-Accent6"/>
    <w:uiPriority w:val="72"/>
    <w:semiHidden/>
    <w:unhideWhenUsed/>
    <w:rsid w:val="00382C10"/>
    <w:pPr>
      <w:spacing w:before="0"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customStyle="1" w:styleId="ColorfulShading2">
    <w:name w:val="Colorful Shading2"/>
    <w:basedOn w:val="TableNormal"/>
    <w:next w:val="ColorfulShading"/>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customStyle="1" w:styleId="ColorfulShading-Accent12">
    <w:name w:val="Colorful Shading - Accent 12"/>
    <w:basedOn w:val="TableNormal"/>
    <w:next w:val="ColorfulShading-Accent1"/>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customStyle="1" w:styleId="ColorfulShading-Accent22">
    <w:name w:val="Colorful Shading - Accent 22"/>
    <w:basedOn w:val="TableNormal"/>
    <w:next w:val="ColorfulShading-Accent2"/>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customStyle="1" w:styleId="ColorfulShading-Accent32">
    <w:name w:val="Colorful Shading - Accent 32"/>
    <w:basedOn w:val="TableNormal"/>
    <w:next w:val="ColorfulShading-Accent3"/>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customStyle="1" w:styleId="ColorfulShading-Accent42">
    <w:name w:val="Colorful Shading - Accent 42"/>
    <w:basedOn w:val="TableNormal"/>
    <w:next w:val="ColorfulShading-Accent4"/>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customStyle="1" w:styleId="ColorfulShading-Accent52">
    <w:name w:val="Colorful Shading - Accent 52"/>
    <w:basedOn w:val="TableNormal"/>
    <w:next w:val="ColorfulShading-Accent5"/>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customStyle="1" w:styleId="ColorfulShading-Accent62">
    <w:name w:val="Colorful Shading - Accent 62"/>
    <w:basedOn w:val="TableNormal"/>
    <w:next w:val="ColorfulShading-Accent6"/>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table" w:customStyle="1" w:styleId="DarkList2">
    <w:name w:val="Dark List2"/>
    <w:basedOn w:val="TableNormal"/>
    <w:next w:val="DarkList"/>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customStyle="1" w:styleId="DarkList-Accent12">
    <w:name w:val="Dark List - Accent 12"/>
    <w:basedOn w:val="TableNormal"/>
    <w:next w:val="DarkList-Accent1"/>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customStyle="1" w:styleId="DarkList-Accent22">
    <w:name w:val="Dark List - Accent 22"/>
    <w:basedOn w:val="TableNormal"/>
    <w:next w:val="DarkList-Accent2"/>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customStyle="1" w:styleId="DarkList-Accent32">
    <w:name w:val="Dark List - Accent 32"/>
    <w:basedOn w:val="TableNormal"/>
    <w:next w:val="DarkList-Accent3"/>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customStyle="1" w:styleId="DarkList-Accent42">
    <w:name w:val="Dark List - Accent 42"/>
    <w:basedOn w:val="TableNormal"/>
    <w:next w:val="DarkList-Accent4"/>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customStyle="1" w:styleId="DarkList-Accent52">
    <w:name w:val="Dark List - Accent 52"/>
    <w:basedOn w:val="TableNormal"/>
    <w:next w:val="DarkList-Accent5"/>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customStyle="1" w:styleId="DarkList-Accent62">
    <w:name w:val="Dark List - Accent 62"/>
    <w:basedOn w:val="TableNormal"/>
    <w:next w:val="DarkList-Accent6"/>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table" w:customStyle="1" w:styleId="GridTable1Light2">
    <w:name w:val="Grid Table 1 Light2"/>
    <w:basedOn w:val="TableNormal"/>
    <w:next w:val="GridTable1Light"/>
    <w:uiPriority w:val="46"/>
    <w:rsid w:val="00382C10"/>
    <w:pPr>
      <w:spacing w:before="0"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382C10"/>
    <w:pPr>
      <w:spacing w:before="0"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382C10"/>
    <w:pPr>
      <w:spacing w:before="0"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next w:val="GridTable1Light-Accent3"/>
    <w:uiPriority w:val="46"/>
    <w:rsid w:val="00382C10"/>
    <w:pPr>
      <w:spacing w:before="0"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next w:val="GridTable1Light-Accent4"/>
    <w:uiPriority w:val="46"/>
    <w:rsid w:val="00382C10"/>
    <w:pPr>
      <w:spacing w:before="0"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382C10"/>
    <w:pPr>
      <w:spacing w:before="0"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382C10"/>
    <w:pPr>
      <w:spacing w:before="0"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next w:val="GridTable2"/>
    <w:uiPriority w:val="47"/>
    <w:rsid w:val="00382C10"/>
    <w:pPr>
      <w:spacing w:before="0"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2-Accent12">
    <w:name w:val="Grid Table 2 - Accent 12"/>
    <w:basedOn w:val="TableNormal"/>
    <w:next w:val="GridTable2-Accent1"/>
    <w:uiPriority w:val="47"/>
    <w:rsid w:val="00382C10"/>
    <w:pPr>
      <w:spacing w:before="0"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2-Accent22">
    <w:name w:val="Grid Table 2 - Accent 22"/>
    <w:basedOn w:val="TableNormal"/>
    <w:next w:val="GridTable2-Accent2"/>
    <w:uiPriority w:val="47"/>
    <w:rsid w:val="00382C10"/>
    <w:pPr>
      <w:spacing w:before="0"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2-Accent32">
    <w:name w:val="Grid Table 2 - Accent 32"/>
    <w:basedOn w:val="TableNormal"/>
    <w:next w:val="GridTable2-Accent3"/>
    <w:uiPriority w:val="47"/>
    <w:rsid w:val="00382C10"/>
    <w:pPr>
      <w:spacing w:before="0"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2-Accent42">
    <w:name w:val="Grid Table 2 - Accent 42"/>
    <w:basedOn w:val="TableNormal"/>
    <w:next w:val="GridTable2-Accent4"/>
    <w:uiPriority w:val="47"/>
    <w:rsid w:val="00382C10"/>
    <w:pPr>
      <w:spacing w:before="0"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2-Accent52">
    <w:name w:val="Grid Table 2 - Accent 52"/>
    <w:basedOn w:val="TableNormal"/>
    <w:next w:val="GridTable2-Accent5"/>
    <w:uiPriority w:val="47"/>
    <w:rsid w:val="00382C10"/>
    <w:pPr>
      <w:spacing w:before="0"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2-Accent62">
    <w:name w:val="Grid Table 2 - Accent 62"/>
    <w:basedOn w:val="TableNormal"/>
    <w:next w:val="GridTable2-Accent6"/>
    <w:uiPriority w:val="47"/>
    <w:rsid w:val="00382C10"/>
    <w:pPr>
      <w:spacing w:before="0"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32">
    <w:name w:val="Grid Table 32"/>
    <w:basedOn w:val="TableNormal"/>
    <w:next w:val="GridTable3"/>
    <w:uiPriority w:val="48"/>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3-Accent12">
    <w:name w:val="Grid Table 3 - Accent 12"/>
    <w:basedOn w:val="TableNormal"/>
    <w:next w:val="GridTable3-Accent1"/>
    <w:uiPriority w:val="48"/>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3-Accent22">
    <w:name w:val="Grid Table 3 - Accent 22"/>
    <w:basedOn w:val="TableNormal"/>
    <w:next w:val="GridTable3-Accent2"/>
    <w:uiPriority w:val="48"/>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3-Accent32">
    <w:name w:val="Grid Table 3 - Accent 32"/>
    <w:basedOn w:val="TableNormal"/>
    <w:next w:val="GridTable3-Accent3"/>
    <w:uiPriority w:val="48"/>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3-Accent42">
    <w:name w:val="Grid Table 3 - Accent 42"/>
    <w:basedOn w:val="TableNormal"/>
    <w:next w:val="GridTable3-Accent4"/>
    <w:uiPriority w:val="48"/>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3-Accent52">
    <w:name w:val="Grid Table 3 - Accent 52"/>
    <w:basedOn w:val="TableNormal"/>
    <w:next w:val="GridTable3-Accent5"/>
    <w:uiPriority w:val="48"/>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3-Accent62">
    <w:name w:val="Grid Table 3 - Accent 62"/>
    <w:basedOn w:val="TableNormal"/>
    <w:next w:val="GridTable3-Accent6"/>
    <w:uiPriority w:val="48"/>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GridTable42">
    <w:name w:val="Grid Table 42"/>
    <w:basedOn w:val="TableNormal"/>
    <w:next w:val="GridTable4"/>
    <w:uiPriority w:val="49"/>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4-Accent12">
    <w:name w:val="Grid Table 4 - Accent 12"/>
    <w:basedOn w:val="TableNormal"/>
    <w:next w:val="GridTable4-Accent1"/>
    <w:uiPriority w:val="49"/>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4-Accent22">
    <w:name w:val="Grid Table 4 - Accent 22"/>
    <w:basedOn w:val="TableNormal"/>
    <w:next w:val="GridTable4-Accent2"/>
    <w:uiPriority w:val="49"/>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4-Accent32">
    <w:name w:val="Grid Table 4 - Accent 32"/>
    <w:basedOn w:val="TableNormal"/>
    <w:next w:val="GridTable4-Accent3"/>
    <w:uiPriority w:val="49"/>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4-Accent42">
    <w:name w:val="Grid Table 4 - Accent 42"/>
    <w:basedOn w:val="TableNormal"/>
    <w:next w:val="GridTable4-Accent4"/>
    <w:uiPriority w:val="49"/>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4-Accent52">
    <w:name w:val="Grid Table 4 - Accent 52"/>
    <w:basedOn w:val="TableNormal"/>
    <w:next w:val="GridTable4-Accent5"/>
    <w:uiPriority w:val="49"/>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4-Accent62">
    <w:name w:val="Grid Table 4 - Accent 62"/>
    <w:basedOn w:val="TableNormal"/>
    <w:next w:val="GridTable4-Accent6"/>
    <w:uiPriority w:val="49"/>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5Dark2">
    <w:name w:val="Grid Table 5 Dark2"/>
    <w:basedOn w:val="TableNormal"/>
    <w:next w:val="GridTable5Dark"/>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GridTable5Dark-Accent12">
    <w:name w:val="Grid Table 5 Dark - Accent 12"/>
    <w:basedOn w:val="TableNormal"/>
    <w:next w:val="GridTable5Dark-Accent1"/>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GridTable5Dark-Accent22">
    <w:name w:val="Grid Table 5 Dark - Accent 22"/>
    <w:basedOn w:val="TableNormal"/>
    <w:next w:val="GridTable5Dark-Accent2"/>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GridTable5Dark-Accent32">
    <w:name w:val="Grid Table 5 Dark - Accent 32"/>
    <w:basedOn w:val="TableNormal"/>
    <w:next w:val="GridTable5Dark-Accent3"/>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GridTable5Dark-Accent42">
    <w:name w:val="Grid Table 5 Dark - Accent 42"/>
    <w:basedOn w:val="TableNormal"/>
    <w:next w:val="GridTable5Dark-Accent4"/>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GridTable5Dark-Accent52">
    <w:name w:val="Grid Table 5 Dark - Accent 52"/>
    <w:basedOn w:val="TableNormal"/>
    <w:next w:val="GridTable5Dark-Accent5"/>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GridTable5Dark-Accent62">
    <w:name w:val="Grid Table 5 Dark - Accent 62"/>
    <w:basedOn w:val="TableNormal"/>
    <w:next w:val="GridTable5Dark-Accent6"/>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GridTable6Colorful2">
    <w:name w:val="Grid Table 6 Colorful2"/>
    <w:basedOn w:val="TableNormal"/>
    <w:next w:val="GridTable6Colorful"/>
    <w:uiPriority w:val="51"/>
    <w:rsid w:val="00382C10"/>
    <w:pPr>
      <w:spacing w:before="0"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6Colorful-Accent12">
    <w:name w:val="Grid Table 6 Colorful - Accent 12"/>
    <w:basedOn w:val="TableNormal"/>
    <w:next w:val="GridTable6Colorful-Accent1"/>
    <w:uiPriority w:val="51"/>
    <w:rsid w:val="00382C10"/>
    <w:pPr>
      <w:spacing w:before="0"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6Colorful-Accent22">
    <w:name w:val="Grid Table 6 Colorful - Accent 22"/>
    <w:basedOn w:val="TableNormal"/>
    <w:next w:val="GridTable6Colorful-Accent2"/>
    <w:uiPriority w:val="51"/>
    <w:rsid w:val="00382C10"/>
    <w:pPr>
      <w:spacing w:before="0"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6Colorful-Accent32">
    <w:name w:val="Grid Table 6 Colorful - Accent 32"/>
    <w:basedOn w:val="TableNormal"/>
    <w:next w:val="GridTable6Colorful-Accent3"/>
    <w:uiPriority w:val="51"/>
    <w:rsid w:val="00382C10"/>
    <w:pPr>
      <w:spacing w:before="0"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6Colorful-Accent42">
    <w:name w:val="Grid Table 6 Colorful - Accent 42"/>
    <w:basedOn w:val="TableNormal"/>
    <w:next w:val="GridTable6Colorful-Accent4"/>
    <w:uiPriority w:val="51"/>
    <w:rsid w:val="00382C10"/>
    <w:pPr>
      <w:spacing w:before="0"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6Colorful-Accent52">
    <w:name w:val="Grid Table 6 Colorful - Accent 52"/>
    <w:basedOn w:val="TableNormal"/>
    <w:next w:val="GridTable6Colorful-Accent5"/>
    <w:uiPriority w:val="51"/>
    <w:rsid w:val="00382C10"/>
    <w:pPr>
      <w:spacing w:before="0"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6Colorful-Accent62">
    <w:name w:val="Grid Table 6 Colorful - Accent 62"/>
    <w:basedOn w:val="TableNormal"/>
    <w:next w:val="GridTable6Colorful-Accent6"/>
    <w:uiPriority w:val="51"/>
    <w:rsid w:val="00382C10"/>
    <w:pPr>
      <w:spacing w:before="0"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7Colorful2">
    <w:name w:val="Grid Table 7 Colorful2"/>
    <w:basedOn w:val="TableNormal"/>
    <w:next w:val="GridTable7Colorful"/>
    <w:uiPriority w:val="52"/>
    <w:rsid w:val="00382C10"/>
    <w:pPr>
      <w:spacing w:before="0"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7Colorful-Accent12">
    <w:name w:val="Grid Table 7 Colorful - Accent 12"/>
    <w:basedOn w:val="TableNormal"/>
    <w:next w:val="GridTable7Colorful-Accent1"/>
    <w:uiPriority w:val="52"/>
    <w:rsid w:val="00382C10"/>
    <w:pPr>
      <w:spacing w:before="0"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7Colorful-Accent22">
    <w:name w:val="Grid Table 7 Colorful - Accent 22"/>
    <w:basedOn w:val="TableNormal"/>
    <w:next w:val="GridTable7Colorful-Accent2"/>
    <w:uiPriority w:val="52"/>
    <w:rsid w:val="00382C10"/>
    <w:pPr>
      <w:spacing w:before="0"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7Colorful-Accent32">
    <w:name w:val="Grid Table 7 Colorful - Accent 32"/>
    <w:basedOn w:val="TableNormal"/>
    <w:next w:val="GridTable7Colorful-Accent3"/>
    <w:uiPriority w:val="52"/>
    <w:rsid w:val="00382C10"/>
    <w:pPr>
      <w:spacing w:before="0"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7Colorful-Accent42">
    <w:name w:val="Grid Table 7 Colorful - Accent 42"/>
    <w:basedOn w:val="TableNormal"/>
    <w:next w:val="GridTable7Colorful-Accent4"/>
    <w:uiPriority w:val="52"/>
    <w:rsid w:val="00382C10"/>
    <w:pPr>
      <w:spacing w:before="0"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7Colorful-Accent52">
    <w:name w:val="Grid Table 7 Colorful - Accent 52"/>
    <w:basedOn w:val="TableNormal"/>
    <w:next w:val="GridTable7Colorful-Accent5"/>
    <w:uiPriority w:val="52"/>
    <w:rsid w:val="00382C10"/>
    <w:pPr>
      <w:spacing w:before="0"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7Colorful-Accent62">
    <w:name w:val="Grid Table 7 Colorful - Accent 62"/>
    <w:basedOn w:val="TableNormal"/>
    <w:next w:val="GridTable7Colorful-Accent6"/>
    <w:uiPriority w:val="52"/>
    <w:rsid w:val="00382C10"/>
    <w:pPr>
      <w:spacing w:before="0"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LightGrid2">
    <w:name w:val="Light Grid2"/>
    <w:basedOn w:val="TableNormal"/>
    <w:next w:val="LightGrid"/>
    <w:uiPriority w:val="62"/>
    <w:semiHidden/>
    <w:unhideWhenUsed/>
    <w:rsid w:val="00382C10"/>
    <w:pPr>
      <w:spacing w:before="0"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customStyle="1" w:styleId="LightGrid-Accent12">
    <w:name w:val="Light Grid - Accent 12"/>
    <w:basedOn w:val="TableNormal"/>
    <w:next w:val="LightGrid-Accent1"/>
    <w:uiPriority w:val="62"/>
    <w:semiHidden/>
    <w:unhideWhenUsed/>
    <w:rsid w:val="00382C10"/>
    <w:pPr>
      <w:spacing w:before="0"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customStyle="1" w:styleId="LightGrid-Accent22">
    <w:name w:val="Light Grid - Accent 22"/>
    <w:basedOn w:val="TableNormal"/>
    <w:next w:val="LightGrid-Accent2"/>
    <w:uiPriority w:val="62"/>
    <w:semiHidden/>
    <w:unhideWhenUsed/>
    <w:rsid w:val="00382C10"/>
    <w:pPr>
      <w:spacing w:before="0"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customStyle="1" w:styleId="LightGrid-Accent32">
    <w:name w:val="Light Grid - Accent 32"/>
    <w:basedOn w:val="TableNormal"/>
    <w:next w:val="LightGrid-Accent3"/>
    <w:uiPriority w:val="62"/>
    <w:semiHidden/>
    <w:unhideWhenUsed/>
    <w:rsid w:val="00382C10"/>
    <w:pPr>
      <w:spacing w:before="0"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customStyle="1" w:styleId="LightGrid-Accent42">
    <w:name w:val="Light Grid - Accent 42"/>
    <w:basedOn w:val="TableNormal"/>
    <w:next w:val="LightGrid-Accent4"/>
    <w:uiPriority w:val="62"/>
    <w:semiHidden/>
    <w:unhideWhenUsed/>
    <w:rsid w:val="00382C10"/>
    <w:pPr>
      <w:spacing w:before="0"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customStyle="1" w:styleId="LightGrid-Accent52">
    <w:name w:val="Light Grid - Accent 52"/>
    <w:basedOn w:val="TableNormal"/>
    <w:next w:val="LightGrid-Accent5"/>
    <w:uiPriority w:val="62"/>
    <w:semiHidden/>
    <w:unhideWhenUsed/>
    <w:rsid w:val="00382C10"/>
    <w:pPr>
      <w:spacing w:before="0"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customStyle="1" w:styleId="LightGrid-Accent62">
    <w:name w:val="Light Grid - Accent 62"/>
    <w:basedOn w:val="TableNormal"/>
    <w:next w:val="LightGrid-Accent6"/>
    <w:uiPriority w:val="62"/>
    <w:semiHidden/>
    <w:unhideWhenUsed/>
    <w:rsid w:val="00382C10"/>
    <w:pPr>
      <w:spacing w:before="0"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customStyle="1" w:styleId="LightList2">
    <w:name w:val="Light List2"/>
    <w:basedOn w:val="TableNormal"/>
    <w:next w:val="LightList"/>
    <w:uiPriority w:val="61"/>
    <w:semiHidden/>
    <w:unhideWhenUsed/>
    <w:rsid w:val="00382C10"/>
    <w:pPr>
      <w:spacing w:before="0"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customStyle="1" w:styleId="LightList-Accent12">
    <w:name w:val="Light List - Accent 12"/>
    <w:basedOn w:val="TableNormal"/>
    <w:next w:val="LightList-Accent1"/>
    <w:uiPriority w:val="61"/>
    <w:semiHidden/>
    <w:unhideWhenUsed/>
    <w:rsid w:val="00382C10"/>
    <w:pPr>
      <w:spacing w:before="0"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customStyle="1" w:styleId="LightList-Accent22">
    <w:name w:val="Light List - Accent 22"/>
    <w:basedOn w:val="TableNormal"/>
    <w:next w:val="LightList-Accent2"/>
    <w:uiPriority w:val="61"/>
    <w:semiHidden/>
    <w:unhideWhenUsed/>
    <w:rsid w:val="00382C10"/>
    <w:pPr>
      <w:spacing w:before="0"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customStyle="1" w:styleId="LightList-Accent32">
    <w:name w:val="Light List - Accent 32"/>
    <w:basedOn w:val="TableNormal"/>
    <w:next w:val="LightList-Accent3"/>
    <w:uiPriority w:val="61"/>
    <w:semiHidden/>
    <w:unhideWhenUsed/>
    <w:rsid w:val="00382C10"/>
    <w:pPr>
      <w:spacing w:before="0"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customStyle="1" w:styleId="LightList-Accent42">
    <w:name w:val="Light List - Accent 42"/>
    <w:basedOn w:val="TableNormal"/>
    <w:next w:val="LightList-Accent4"/>
    <w:uiPriority w:val="61"/>
    <w:semiHidden/>
    <w:unhideWhenUsed/>
    <w:rsid w:val="00382C10"/>
    <w:pPr>
      <w:spacing w:before="0"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customStyle="1" w:styleId="LightList-Accent52">
    <w:name w:val="Light List - Accent 52"/>
    <w:basedOn w:val="TableNormal"/>
    <w:next w:val="LightList-Accent5"/>
    <w:uiPriority w:val="61"/>
    <w:semiHidden/>
    <w:unhideWhenUsed/>
    <w:rsid w:val="00382C10"/>
    <w:pPr>
      <w:spacing w:before="0"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customStyle="1" w:styleId="LightList-Accent62">
    <w:name w:val="Light List - Accent 62"/>
    <w:basedOn w:val="TableNormal"/>
    <w:next w:val="LightList-Accent6"/>
    <w:uiPriority w:val="61"/>
    <w:semiHidden/>
    <w:unhideWhenUsed/>
    <w:rsid w:val="00382C10"/>
    <w:pPr>
      <w:spacing w:before="0"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customStyle="1" w:styleId="LightShading2">
    <w:name w:val="Light Shading2"/>
    <w:basedOn w:val="TableNormal"/>
    <w:next w:val="LightShading"/>
    <w:uiPriority w:val="60"/>
    <w:semiHidden/>
    <w:unhideWhenUsed/>
    <w:rsid w:val="00382C10"/>
    <w:pPr>
      <w:spacing w:before="0"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customStyle="1" w:styleId="LightShading-Accent12">
    <w:name w:val="Light Shading - Accent 12"/>
    <w:basedOn w:val="TableNormal"/>
    <w:next w:val="LightShading-Accent1"/>
    <w:uiPriority w:val="60"/>
    <w:semiHidden/>
    <w:unhideWhenUsed/>
    <w:rsid w:val="00382C10"/>
    <w:pPr>
      <w:spacing w:before="0"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customStyle="1" w:styleId="LightShading-Accent22">
    <w:name w:val="Light Shading - Accent 22"/>
    <w:basedOn w:val="TableNormal"/>
    <w:next w:val="LightShading-Accent2"/>
    <w:uiPriority w:val="60"/>
    <w:semiHidden/>
    <w:unhideWhenUsed/>
    <w:rsid w:val="00382C10"/>
    <w:pPr>
      <w:spacing w:before="0"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customStyle="1" w:styleId="LightShading-Accent32">
    <w:name w:val="Light Shading - Accent 32"/>
    <w:basedOn w:val="TableNormal"/>
    <w:next w:val="LightShading-Accent3"/>
    <w:uiPriority w:val="60"/>
    <w:semiHidden/>
    <w:unhideWhenUsed/>
    <w:rsid w:val="00382C10"/>
    <w:pPr>
      <w:spacing w:before="0"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customStyle="1" w:styleId="LightShading-Accent42">
    <w:name w:val="Light Shading - Accent 42"/>
    <w:basedOn w:val="TableNormal"/>
    <w:next w:val="LightShading-Accent4"/>
    <w:uiPriority w:val="60"/>
    <w:semiHidden/>
    <w:unhideWhenUsed/>
    <w:rsid w:val="00382C10"/>
    <w:pPr>
      <w:spacing w:before="0"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customStyle="1" w:styleId="LightShading-Accent52">
    <w:name w:val="Light Shading - Accent 52"/>
    <w:basedOn w:val="TableNormal"/>
    <w:next w:val="LightShading-Accent5"/>
    <w:uiPriority w:val="60"/>
    <w:semiHidden/>
    <w:unhideWhenUsed/>
    <w:rsid w:val="00382C10"/>
    <w:pPr>
      <w:spacing w:before="0"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customStyle="1" w:styleId="LightShading-Accent62">
    <w:name w:val="Light Shading - Accent 62"/>
    <w:basedOn w:val="TableNormal"/>
    <w:next w:val="LightShading-Accent6"/>
    <w:uiPriority w:val="60"/>
    <w:semiHidden/>
    <w:unhideWhenUsed/>
    <w:rsid w:val="00382C10"/>
    <w:pPr>
      <w:spacing w:before="0"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table" w:customStyle="1" w:styleId="ListTable1Light2">
    <w:name w:val="List Table 1 Light2"/>
    <w:basedOn w:val="TableNormal"/>
    <w:next w:val="ListTable1Light"/>
    <w:uiPriority w:val="46"/>
    <w:rsid w:val="00382C10"/>
    <w:pPr>
      <w:spacing w:before="0"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1Light-Accent12">
    <w:name w:val="List Table 1 Light - Accent 12"/>
    <w:basedOn w:val="TableNormal"/>
    <w:next w:val="ListTable1Light-Accent1"/>
    <w:uiPriority w:val="46"/>
    <w:rsid w:val="00382C10"/>
    <w:pPr>
      <w:spacing w:before="0"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1Light-Accent22">
    <w:name w:val="List Table 1 Light - Accent 22"/>
    <w:basedOn w:val="TableNormal"/>
    <w:next w:val="ListTable1Light-Accent2"/>
    <w:uiPriority w:val="46"/>
    <w:rsid w:val="00382C10"/>
    <w:pPr>
      <w:spacing w:before="0"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1Light-Accent32">
    <w:name w:val="List Table 1 Light - Accent 32"/>
    <w:basedOn w:val="TableNormal"/>
    <w:next w:val="ListTable1Light-Accent3"/>
    <w:uiPriority w:val="46"/>
    <w:rsid w:val="00382C10"/>
    <w:pPr>
      <w:spacing w:before="0"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1Light-Accent42">
    <w:name w:val="List Table 1 Light - Accent 42"/>
    <w:basedOn w:val="TableNormal"/>
    <w:next w:val="ListTable1Light-Accent4"/>
    <w:uiPriority w:val="46"/>
    <w:rsid w:val="00382C10"/>
    <w:pPr>
      <w:spacing w:before="0"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1Light-Accent52">
    <w:name w:val="List Table 1 Light - Accent 52"/>
    <w:basedOn w:val="TableNormal"/>
    <w:next w:val="ListTable1Light-Accent5"/>
    <w:uiPriority w:val="46"/>
    <w:rsid w:val="00382C10"/>
    <w:pPr>
      <w:spacing w:before="0"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1Light-Accent62">
    <w:name w:val="List Table 1 Light - Accent 62"/>
    <w:basedOn w:val="TableNormal"/>
    <w:next w:val="ListTable1Light-Accent6"/>
    <w:uiPriority w:val="46"/>
    <w:rsid w:val="00382C10"/>
    <w:pPr>
      <w:spacing w:before="0"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22">
    <w:name w:val="List Table 22"/>
    <w:basedOn w:val="TableNormal"/>
    <w:next w:val="ListTable2"/>
    <w:uiPriority w:val="47"/>
    <w:rsid w:val="00382C10"/>
    <w:pPr>
      <w:spacing w:before="0"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2-Accent12">
    <w:name w:val="List Table 2 - Accent 12"/>
    <w:basedOn w:val="TableNormal"/>
    <w:next w:val="ListTable2-Accent1"/>
    <w:uiPriority w:val="47"/>
    <w:rsid w:val="00382C10"/>
    <w:pPr>
      <w:spacing w:before="0"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2-Accent22">
    <w:name w:val="List Table 2 - Accent 22"/>
    <w:basedOn w:val="TableNormal"/>
    <w:next w:val="ListTable2-Accent2"/>
    <w:uiPriority w:val="47"/>
    <w:rsid w:val="00382C10"/>
    <w:pPr>
      <w:spacing w:before="0"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2-Accent32">
    <w:name w:val="List Table 2 - Accent 32"/>
    <w:basedOn w:val="TableNormal"/>
    <w:next w:val="ListTable2-Accent3"/>
    <w:uiPriority w:val="47"/>
    <w:rsid w:val="00382C10"/>
    <w:pPr>
      <w:spacing w:before="0"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2-Accent42">
    <w:name w:val="List Table 2 - Accent 42"/>
    <w:basedOn w:val="TableNormal"/>
    <w:next w:val="ListTable2-Accent4"/>
    <w:uiPriority w:val="47"/>
    <w:rsid w:val="00382C10"/>
    <w:pPr>
      <w:spacing w:before="0"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2-Accent52">
    <w:name w:val="List Table 2 - Accent 52"/>
    <w:basedOn w:val="TableNormal"/>
    <w:next w:val="ListTable2-Accent5"/>
    <w:uiPriority w:val="47"/>
    <w:rsid w:val="00382C10"/>
    <w:pPr>
      <w:spacing w:before="0"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2-Accent62">
    <w:name w:val="List Table 2 - Accent 62"/>
    <w:basedOn w:val="TableNormal"/>
    <w:next w:val="ListTable2-Accent6"/>
    <w:uiPriority w:val="47"/>
    <w:rsid w:val="00382C10"/>
    <w:pPr>
      <w:spacing w:before="0"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32">
    <w:name w:val="List Table 32"/>
    <w:basedOn w:val="TableNormal"/>
    <w:next w:val="ListTable3"/>
    <w:uiPriority w:val="48"/>
    <w:rsid w:val="00382C10"/>
    <w:pPr>
      <w:spacing w:before="0"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ListTable3-Accent12">
    <w:name w:val="List Table 3 - Accent 12"/>
    <w:basedOn w:val="TableNormal"/>
    <w:next w:val="ListTable3-Accent1"/>
    <w:uiPriority w:val="48"/>
    <w:rsid w:val="00382C10"/>
    <w:pPr>
      <w:spacing w:before="0"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ListTable3-Accent22">
    <w:name w:val="List Table 3 - Accent 22"/>
    <w:basedOn w:val="TableNormal"/>
    <w:next w:val="ListTable3-Accent2"/>
    <w:uiPriority w:val="48"/>
    <w:rsid w:val="00382C10"/>
    <w:pPr>
      <w:spacing w:before="0"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ListTable3-Accent32">
    <w:name w:val="List Table 3 - Accent 32"/>
    <w:basedOn w:val="TableNormal"/>
    <w:next w:val="ListTable3-Accent3"/>
    <w:uiPriority w:val="48"/>
    <w:rsid w:val="00382C10"/>
    <w:pPr>
      <w:spacing w:before="0"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ListTable3-Accent42">
    <w:name w:val="List Table 3 - Accent 42"/>
    <w:basedOn w:val="TableNormal"/>
    <w:next w:val="ListTable3-Accent4"/>
    <w:uiPriority w:val="48"/>
    <w:rsid w:val="00382C10"/>
    <w:pPr>
      <w:spacing w:before="0"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ListTable3-Accent52">
    <w:name w:val="List Table 3 - Accent 52"/>
    <w:basedOn w:val="TableNormal"/>
    <w:next w:val="ListTable3-Accent5"/>
    <w:uiPriority w:val="48"/>
    <w:rsid w:val="00382C10"/>
    <w:pPr>
      <w:spacing w:before="0"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ListTable3-Accent62">
    <w:name w:val="List Table 3 - Accent 62"/>
    <w:basedOn w:val="TableNormal"/>
    <w:next w:val="ListTable3-Accent6"/>
    <w:uiPriority w:val="48"/>
    <w:rsid w:val="00382C10"/>
    <w:pPr>
      <w:spacing w:before="0"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ListTable42">
    <w:name w:val="List Table 42"/>
    <w:basedOn w:val="TableNormal"/>
    <w:next w:val="ListTable4"/>
    <w:uiPriority w:val="49"/>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4-Accent12">
    <w:name w:val="List Table 4 - Accent 12"/>
    <w:basedOn w:val="TableNormal"/>
    <w:next w:val="ListTable4-Accent1"/>
    <w:uiPriority w:val="49"/>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4-Accent22">
    <w:name w:val="List Table 4 - Accent 22"/>
    <w:basedOn w:val="TableNormal"/>
    <w:next w:val="ListTable4-Accent2"/>
    <w:uiPriority w:val="49"/>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4-Accent32">
    <w:name w:val="List Table 4 - Accent 32"/>
    <w:basedOn w:val="TableNormal"/>
    <w:next w:val="ListTable4-Accent3"/>
    <w:uiPriority w:val="49"/>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4-Accent42">
    <w:name w:val="List Table 4 - Accent 42"/>
    <w:basedOn w:val="TableNormal"/>
    <w:next w:val="ListTable4-Accent4"/>
    <w:uiPriority w:val="49"/>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4-Accent52">
    <w:name w:val="List Table 4 - Accent 52"/>
    <w:basedOn w:val="TableNormal"/>
    <w:next w:val="ListTable4-Accent5"/>
    <w:uiPriority w:val="49"/>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4-Accent62">
    <w:name w:val="List Table 4 - Accent 62"/>
    <w:basedOn w:val="TableNormal"/>
    <w:next w:val="ListTable4-Accent6"/>
    <w:uiPriority w:val="49"/>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5Dark2">
    <w:name w:val="List Table 5 Dark2"/>
    <w:basedOn w:val="TableNormal"/>
    <w:next w:val="ListTable5Dark"/>
    <w:uiPriority w:val="50"/>
    <w:rsid w:val="00382C10"/>
    <w:pPr>
      <w:spacing w:before="0"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next w:val="ListTable5Dark-Accent1"/>
    <w:uiPriority w:val="50"/>
    <w:rsid w:val="00382C10"/>
    <w:pPr>
      <w:spacing w:before="0"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next w:val="ListTable5Dark-Accent2"/>
    <w:uiPriority w:val="50"/>
    <w:rsid w:val="00382C10"/>
    <w:pPr>
      <w:spacing w:before="0"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next w:val="ListTable5Dark-Accent3"/>
    <w:uiPriority w:val="50"/>
    <w:rsid w:val="00382C10"/>
    <w:pPr>
      <w:spacing w:before="0"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next w:val="ListTable5Dark-Accent4"/>
    <w:uiPriority w:val="50"/>
    <w:rsid w:val="00382C10"/>
    <w:pPr>
      <w:spacing w:before="0"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next w:val="ListTable5Dark-Accent5"/>
    <w:uiPriority w:val="50"/>
    <w:rsid w:val="00382C10"/>
    <w:pPr>
      <w:spacing w:before="0"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next w:val="ListTable5Dark-Accent6"/>
    <w:uiPriority w:val="50"/>
    <w:rsid w:val="00382C10"/>
    <w:pPr>
      <w:spacing w:before="0"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next w:val="ListTable6Colorful"/>
    <w:uiPriority w:val="51"/>
    <w:rsid w:val="00382C10"/>
    <w:pPr>
      <w:spacing w:before="0"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6Colorful-Accent12">
    <w:name w:val="List Table 6 Colorful - Accent 12"/>
    <w:basedOn w:val="TableNormal"/>
    <w:next w:val="ListTable6Colorful-Accent1"/>
    <w:uiPriority w:val="51"/>
    <w:rsid w:val="00382C10"/>
    <w:pPr>
      <w:spacing w:before="0"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6Colorful-Accent22">
    <w:name w:val="List Table 6 Colorful - Accent 22"/>
    <w:basedOn w:val="TableNormal"/>
    <w:next w:val="ListTable6Colorful-Accent2"/>
    <w:uiPriority w:val="51"/>
    <w:rsid w:val="00382C10"/>
    <w:pPr>
      <w:spacing w:before="0"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6Colorful-Accent32">
    <w:name w:val="List Table 6 Colorful - Accent 32"/>
    <w:basedOn w:val="TableNormal"/>
    <w:next w:val="ListTable6Colorful-Accent3"/>
    <w:uiPriority w:val="51"/>
    <w:rsid w:val="00382C10"/>
    <w:pPr>
      <w:spacing w:before="0"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6Colorful-Accent42">
    <w:name w:val="List Table 6 Colorful - Accent 42"/>
    <w:basedOn w:val="TableNormal"/>
    <w:next w:val="ListTable6Colorful-Accent4"/>
    <w:uiPriority w:val="51"/>
    <w:rsid w:val="00382C10"/>
    <w:pPr>
      <w:spacing w:before="0"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6Colorful-Accent52">
    <w:name w:val="List Table 6 Colorful - Accent 52"/>
    <w:basedOn w:val="TableNormal"/>
    <w:next w:val="ListTable6Colorful-Accent5"/>
    <w:uiPriority w:val="51"/>
    <w:rsid w:val="00382C10"/>
    <w:pPr>
      <w:spacing w:before="0"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6Colorful-Accent62">
    <w:name w:val="List Table 6 Colorful - Accent 62"/>
    <w:basedOn w:val="TableNormal"/>
    <w:next w:val="ListTable6Colorful-Accent6"/>
    <w:uiPriority w:val="51"/>
    <w:rsid w:val="00382C10"/>
    <w:pPr>
      <w:spacing w:before="0"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7Colorful2">
    <w:name w:val="List Table 7 Colorful2"/>
    <w:basedOn w:val="TableNormal"/>
    <w:next w:val="ListTable7Colorful"/>
    <w:uiPriority w:val="52"/>
    <w:rsid w:val="00382C10"/>
    <w:pPr>
      <w:spacing w:before="0"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next w:val="ListTable7Colorful-Accent1"/>
    <w:uiPriority w:val="52"/>
    <w:rsid w:val="00382C10"/>
    <w:pPr>
      <w:spacing w:before="0"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next w:val="ListTable7Colorful-Accent2"/>
    <w:uiPriority w:val="52"/>
    <w:rsid w:val="00382C10"/>
    <w:pPr>
      <w:spacing w:before="0"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next w:val="ListTable7Colorful-Accent3"/>
    <w:uiPriority w:val="52"/>
    <w:rsid w:val="00382C10"/>
    <w:pPr>
      <w:spacing w:before="0"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next w:val="ListTable7Colorful-Accent4"/>
    <w:uiPriority w:val="52"/>
    <w:rsid w:val="00382C10"/>
    <w:pPr>
      <w:spacing w:before="0"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next w:val="ListTable7Colorful-Accent5"/>
    <w:uiPriority w:val="52"/>
    <w:rsid w:val="00382C10"/>
    <w:pPr>
      <w:spacing w:before="0"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next w:val="ListTable7Colorful-Accent6"/>
    <w:uiPriority w:val="52"/>
    <w:rsid w:val="00382C10"/>
    <w:pPr>
      <w:spacing w:before="0"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2">
    <w:name w:val="Medium Grid 12"/>
    <w:basedOn w:val="TableNormal"/>
    <w:next w:val="MediumGrid1"/>
    <w:uiPriority w:val="67"/>
    <w:semiHidden/>
    <w:unhideWhenUsed/>
    <w:rsid w:val="00382C10"/>
    <w:pPr>
      <w:spacing w:before="0"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customStyle="1" w:styleId="MediumGrid1-Accent12">
    <w:name w:val="Medium Grid 1 - Accent 12"/>
    <w:basedOn w:val="TableNormal"/>
    <w:next w:val="MediumGrid1-Accent1"/>
    <w:uiPriority w:val="67"/>
    <w:semiHidden/>
    <w:unhideWhenUsed/>
    <w:rsid w:val="00382C10"/>
    <w:pPr>
      <w:spacing w:before="0"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customStyle="1" w:styleId="MediumGrid1-Accent22">
    <w:name w:val="Medium Grid 1 - Accent 22"/>
    <w:basedOn w:val="TableNormal"/>
    <w:next w:val="MediumGrid1-Accent2"/>
    <w:uiPriority w:val="67"/>
    <w:semiHidden/>
    <w:unhideWhenUsed/>
    <w:rsid w:val="00382C10"/>
    <w:pPr>
      <w:spacing w:before="0"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customStyle="1" w:styleId="MediumGrid1-Accent32">
    <w:name w:val="Medium Grid 1 - Accent 32"/>
    <w:basedOn w:val="TableNormal"/>
    <w:next w:val="MediumGrid1-Accent3"/>
    <w:uiPriority w:val="67"/>
    <w:semiHidden/>
    <w:unhideWhenUsed/>
    <w:rsid w:val="00382C10"/>
    <w:pPr>
      <w:spacing w:before="0"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customStyle="1" w:styleId="MediumGrid1-Accent42">
    <w:name w:val="Medium Grid 1 - Accent 42"/>
    <w:basedOn w:val="TableNormal"/>
    <w:next w:val="MediumGrid1-Accent4"/>
    <w:uiPriority w:val="67"/>
    <w:semiHidden/>
    <w:unhideWhenUsed/>
    <w:rsid w:val="00382C10"/>
    <w:pPr>
      <w:spacing w:before="0"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customStyle="1" w:styleId="MediumGrid1-Accent52">
    <w:name w:val="Medium Grid 1 - Accent 52"/>
    <w:basedOn w:val="TableNormal"/>
    <w:next w:val="MediumGrid1-Accent5"/>
    <w:uiPriority w:val="67"/>
    <w:semiHidden/>
    <w:unhideWhenUsed/>
    <w:rsid w:val="00382C10"/>
    <w:pPr>
      <w:spacing w:before="0"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customStyle="1" w:styleId="MediumGrid1-Accent62">
    <w:name w:val="Medium Grid 1 - Accent 62"/>
    <w:basedOn w:val="TableNormal"/>
    <w:next w:val="MediumGrid1-Accent6"/>
    <w:uiPriority w:val="67"/>
    <w:semiHidden/>
    <w:unhideWhenUsed/>
    <w:rsid w:val="00382C10"/>
    <w:pPr>
      <w:spacing w:before="0"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customStyle="1" w:styleId="MediumGrid22">
    <w:name w:val="Medium Grid 22"/>
    <w:basedOn w:val="TableNormal"/>
    <w:next w:val="MediumGrid2"/>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customStyle="1" w:styleId="MediumGrid2-Accent12">
    <w:name w:val="Medium Grid 2 - Accent 12"/>
    <w:basedOn w:val="TableNormal"/>
    <w:next w:val="MediumGrid2-Accent1"/>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customStyle="1" w:styleId="MediumGrid2-Accent22">
    <w:name w:val="Medium Grid 2 - Accent 22"/>
    <w:basedOn w:val="TableNormal"/>
    <w:next w:val="MediumGrid2-Accent2"/>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customStyle="1" w:styleId="MediumGrid2-Accent32">
    <w:name w:val="Medium Grid 2 - Accent 32"/>
    <w:basedOn w:val="TableNormal"/>
    <w:next w:val="MediumGrid2-Accent3"/>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customStyle="1" w:styleId="MediumGrid2-Accent42">
    <w:name w:val="Medium Grid 2 - Accent 42"/>
    <w:basedOn w:val="TableNormal"/>
    <w:next w:val="MediumGrid2-Accent4"/>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customStyle="1" w:styleId="MediumGrid2-Accent52">
    <w:name w:val="Medium Grid 2 - Accent 52"/>
    <w:basedOn w:val="TableNormal"/>
    <w:next w:val="MediumGrid2-Accent5"/>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customStyle="1" w:styleId="MediumGrid2-Accent62">
    <w:name w:val="Medium Grid 2 - Accent 62"/>
    <w:basedOn w:val="TableNormal"/>
    <w:next w:val="MediumGrid2-Accent6"/>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customStyle="1" w:styleId="MediumGrid32">
    <w:name w:val="Medium Grid 32"/>
    <w:basedOn w:val="TableNormal"/>
    <w:next w:val="MediumGrid3"/>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customStyle="1" w:styleId="MediumGrid3-Accent12">
    <w:name w:val="Medium Grid 3 - Accent 12"/>
    <w:basedOn w:val="TableNormal"/>
    <w:next w:val="MediumGrid3-Accent1"/>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customStyle="1" w:styleId="MediumGrid3-Accent22">
    <w:name w:val="Medium Grid 3 - Accent 22"/>
    <w:basedOn w:val="TableNormal"/>
    <w:next w:val="MediumGrid3-Accent2"/>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customStyle="1" w:styleId="MediumGrid3-Accent32">
    <w:name w:val="Medium Grid 3 - Accent 32"/>
    <w:basedOn w:val="TableNormal"/>
    <w:next w:val="MediumGrid3-Accent3"/>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customStyle="1" w:styleId="MediumGrid3-Accent42">
    <w:name w:val="Medium Grid 3 - Accent 42"/>
    <w:basedOn w:val="TableNormal"/>
    <w:next w:val="MediumGrid3-Accent4"/>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customStyle="1" w:styleId="MediumGrid3-Accent52">
    <w:name w:val="Medium Grid 3 - Accent 52"/>
    <w:basedOn w:val="TableNormal"/>
    <w:next w:val="MediumGrid3-Accent5"/>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customStyle="1" w:styleId="MediumGrid3-Accent62">
    <w:name w:val="Medium Grid 3 - Accent 62"/>
    <w:basedOn w:val="TableNormal"/>
    <w:next w:val="MediumGrid3-Accent6"/>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customStyle="1" w:styleId="MediumList12">
    <w:name w:val="Medium List 12"/>
    <w:basedOn w:val="TableNormal"/>
    <w:next w:val="MediumList1"/>
    <w:uiPriority w:val="65"/>
    <w:semiHidden/>
    <w:unhideWhenUsed/>
    <w:rsid w:val="00382C10"/>
    <w:pPr>
      <w:spacing w:before="0"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customStyle="1" w:styleId="MediumList1-Accent12">
    <w:name w:val="Medium List 1 - Accent 12"/>
    <w:basedOn w:val="TableNormal"/>
    <w:next w:val="MediumList1-Accent1"/>
    <w:uiPriority w:val="65"/>
    <w:semiHidden/>
    <w:unhideWhenUsed/>
    <w:rsid w:val="00382C10"/>
    <w:pPr>
      <w:spacing w:before="0"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customStyle="1" w:styleId="MediumList1-Accent22">
    <w:name w:val="Medium List 1 - Accent 22"/>
    <w:basedOn w:val="TableNormal"/>
    <w:next w:val="MediumList1-Accent2"/>
    <w:uiPriority w:val="65"/>
    <w:semiHidden/>
    <w:unhideWhenUsed/>
    <w:rsid w:val="00382C10"/>
    <w:pPr>
      <w:spacing w:before="0"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customStyle="1" w:styleId="MediumList1-Accent32">
    <w:name w:val="Medium List 1 - Accent 32"/>
    <w:basedOn w:val="TableNormal"/>
    <w:next w:val="MediumList1-Accent3"/>
    <w:uiPriority w:val="65"/>
    <w:semiHidden/>
    <w:unhideWhenUsed/>
    <w:rsid w:val="00382C10"/>
    <w:pPr>
      <w:spacing w:before="0"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customStyle="1" w:styleId="MediumList1-Accent42">
    <w:name w:val="Medium List 1 - Accent 42"/>
    <w:basedOn w:val="TableNormal"/>
    <w:next w:val="MediumList1-Accent4"/>
    <w:uiPriority w:val="65"/>
    <w:semiHidden/>
    <w:unhideWhenUsed/>
    <w:rsid w:val="00382C10"/>
    <w:pPr>
      <w:spacing w:before="0"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customStyle="1" w:styleId="MediumList1-Accent52">
    <w:name w:val="Medium List 1 - Accent 52"/>
    <w:basedOn w:val="TableNormal"/>
    <w:next w:val="MediumList1-Accent5"/>
    <w:uiPriority w:val="65"/>
    <w:semiHidden/>
    <w:unhideWhenUsed/>
    <w:rsid w:val="00382C10"/>
    <w:pPr>
      <w:spacing w:before="0"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customStyle="1" w:styleId="MediumList1-Accent62">
    <w:name w:val="Medium List 1 - Accent 62"/>
    <w:basedOn w:val="TableNormal"/>
    <w:next w:val="MediumList1-Accent6"/>
    <w:uiPriority w:val="65"/>
    <w:semiHidden/>
    <w:unhideWhenUsed/>
    <w:rsid w:val="00382C10"/>
    <w:pPr>
      <w:spacing w:before="0"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customStyle="1" w:styleId="MediumList22">
    <w:name w:val="Medium List 22"/>
    <w:basedOn w:val="TableNormal"/>
    <w:next w:val="MediumList2"/>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unhideWhenUsed/>
    <w:rsid w:val="00382C10"/>
    <w:pPr>
      <w:spacing w:before="0"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unhideWhenUsed/>
    <w:rsid w:val="00382C10"/>
    <w:pPr>
      <w:spacing w:before="0"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unhideWhenUsed/>
    <w:rsid w:val="00382C10"/>
    <w:pPr>
      <w:spacing w:before="0"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unhideWhenUsed/>
    <w:rsid w:val="00382C10"/>
    <w:pPr>
      <w:spacing w:before="0"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unhideWhenUsed/>
    <w:rsid w:val="00382C10"/>
    <w:pPr>
      <w:spacing w:before="0"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382C10"/>
    <w:pPr>
      <w:spacing w:before="0"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sid w:val="00382C10"/>
    <w:pPr>
      <w:spacing w:before="0"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22">
    <w:name w:val="Medium Shading 2 - Accent 22"/>
    <w:basedOn w:val="TableNormal"/>
    <w:next w:val="MediumShading2-Accent2"/>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32">
    <w:name w:val="Medium Shading 2 - Accent 32"/>
    <w:basedOn w:val="TableNormal"/>
    <w:next w:val="MediumShading2-Accent3"/>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42">
    <w:name w:val="Medium Shading 2 - Accent 42"/>
    <w:basedOn w:val="TableNormal"/>
    <w:next w:val="MediumShading2-Accent4"/>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52">
    <w:name w:val="Medium Shading 2 - Accent 52"/>
    <w:basedOn w:val="TableNormal"/>
    <w:next w:val="MediumShading2-Accent5"/>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62">
    <w:name w:val="Medium Shading 2 - Accent 62"/>
    <w:basedOn w:val="TableNormal"/>
    <w:next w:val="MediumShading2-Accent6"/>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2">
    <w:name w:val="Plain Table 12"/>
    <w:basedOn w:val="TableNormal"/>
    <w:next w:val="PlainTable1"/>
    <w:uiPriority w:val="41"/>
    <w:rsid w:val="00382C10"/>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next w:val="PlainTable2"/>
    <w:uiPriority w:val="42"/>
    <w:rsid w:val="00382C10"/>
    <w:pPr>
      <w:spacing w:before="0"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PlainTable32">
    <w:name w:val="Plain Table 32"/>
    <w:basedOn w:val="TableNormal"/>
    <w:next w:val="PlainTable3"/>
    <w:uiPriority w:val="43"/>
    <w:rsid w:val="00382C10"/>
    <w:pPr>
      <w:spacing w:before="0"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44"/>
    <w:rsid w:val="00382C1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next w:val="PlainTable5"/>
    <w:uiPriority w:val="45"/>
    <w:rsid w:val="00382C10"/>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2">
    <w:name w:val="Table 3D effects 12"/>
    <w:basedOn w:val="TableNormal"/>
    <w:next w:val="Table3Deffects1"/>
    <w:uiPriority w:val="99"/>
    <w:semiHidden/>
    <w:unhideWhenUsed/>
    <w:rsid w:val="00382C1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unhideWhenUsed/>
    <w:rsid w:val="00382C1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unhideWhenUsed/>
    <w:rsid w:val="00382C1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382C1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unhideWhenUsed/>
    <w:rsid w:val="00382C1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unhideWhenUsed/>
    <w:rsid w:val="00382C1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unhideWhenUsed/>
    <w:rsid w:val="00382C1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unhideWhenUsed/>
    <w:rsid w:val="00382C1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unhideWhenUsed/>
    <w:rsid w:val="00382C1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382C1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unhideWhenUsed/>
    <w:rsid w:val="00382C1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unhideWhenUsed/>
    <w:rsid w:val="00382C1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unhideWhenUsed/>
    <w:rsid w:val="00382C1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unhideWhenUsed/>
    <w:rsid w:val="00382C1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unhideWhenUsed/>
    <w:rsid w:val="00382C1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unhideWhenUsed/>
    <w:rsid w:val="00382C1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unhideWhenUsed/>
    <w:rsid w:val="00382C1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uiPriority w:val="99"/>
    <w:semiHidden/>
    <w:unhideWhenUsed/>
    <w:rsid w:val="00382C1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unhideWhenUsed/>
    <w:rsid w:val="00382C1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unhideWhenUsed/>
    <w:rsid w:val="00382C1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unhideWhenUsed/>
    <w:rsid w:val="00382C1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unhideWhenUsed/>
    <w:rsid w:val="00382C1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382C10"/>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2">
    <w:name w:val="Table List 12"/>
    <w:basedOn w:val="TableNormal"/>
    <w:next w:val="TableList1"/>
    <w:uiPriority w:val="99"/>
    <w:semiHidden/>
    <w:unhideWhenUsed/>
    <w:rsid w:val="00382C1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382C1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unhideWhenUsed/>
    <w:rsid w:val="00382C1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unhideWhenUsed/>
    <w:rsid w:val="00382C1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unhideWhenUsed/>
    <w:rsid w:val="00382C1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unhideWhenUsed/>
    <w:rsid w:val="00382C1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unhideWhenUsed/>
    <w:rsid w:val="00382C1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unhideWhenUsed/>
    <w:rsid w:val="00382C1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unhideWhenUsed/>
    <w:rsid w:val="00382C1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unhideWhenUsed/>
    <w:rsid w:val="00382C1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unhideWhenUsed/>
    <w:rsid w:val="00382C1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rsid w:val="00382C1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unhideWhenUsed/>
    <w:rsid w:val="00382C1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unhideWhenUsed/>
    <w:rsid w:val="00382C1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77303">
      <w:bodyDiv w:val="1"/>
      <w:marLeft w:val="0"/>
      <w:marRight w:val="0"/>
      <w:marTop w:val="0"/>
      <w:marBottom w:val="0"/>
      <w:divBdr>
        <w:top w:val="none" w:sz="0" w:space="0" w:color="auto"/>
        <w:left w:val="none" w:sz="0" w:space="0" w:color="auto"/>
        <w:bottom w:val="none" w:sz="0" w:space="0" w:color="auto"/>
        <w:right w:val="none" w:sz="0" w:space="0" w:color="auto"/>
      </w:divBdr>
    </w:div>
    <w:div w:id="1678652237">
      <w:bodyDiv w:val="1"/>
      <w:marLeft w:val="0"/>
      <w:marRight w:val="0"/>
      <w:marTop w:val="0"/>
      <w:marBottom w:val="0"/>
      <w:divBdr>
        <w:top w:val="none" w:sz="0" w:space="0" w:color="auto"/>
        <w:left w:val="none" w:sz="0" w:space="0" w:color="auto"/>
        <w:bottom w:val="none" w:sz="0" w:space="0" w:color="auto"/>
        <w:right w:val="none" w:sz="0" w:space="0" w:color="auto"/>
      </w:divBdr>
    </w:div>
    <w:div w:id="19413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intosai.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theglobalfund.org/en/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heglobalfund.org/en/search/?q=Grant+portfolio"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theglobalfund.org/media/6041/core_annualauditsoffinancialstatements_guideline_en.pdf?u=637217622760000000"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theglobalfund.org/media/7540/financial_financialriskmanagement_guidelines_en.pdf?u=636784020850000000"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7540/financial_financialriskmanagement_guidelines_en.pdf?u=636784020850000000" TargetMode="External"/><Relationship Id="rId1" Type="http://schemas.openxmlformats.org/officeDocument/2006/relationships/hyperlink" Target="https://www.theglobalfund.org/media/6156/core_pudr_guidelines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1405F9"/>
    <w:rsid w:val="00234B8B"/>
    <w:rsid w:val="00251F75"/>
    <w:rsid w:val="002F0B52"/>
    <w:rsid w:val="00304966"/>
    <w:rsid w:val="003C5A28"/>
    <w:rsid w:val="00404AF6"/>
    <w:rsid w:val="00463C69"/>
    <w:rsid w:val="004721C8"/>
    <w:rsid w:val="0048798F"/>
    <w:rsid w:val="004A20E8"/>
    <w:rsid w:val="00521E92"/>
    <w:rsid w:val="00523F6C"/>
    <w:rsid w:val="00537135"/>
    <w:rsid w:val="00596A23"/>
    <w:rsid w:val="005E07A1"/>
    <w:rsid w:val="0064013D"/>
    <w:rsid w:val="0071250F"/>
    <w:rsid w:val="007428D6"/>
    <w:rsid w:val="0082456E"/>
    <w:rsid w:val="0083184D"/>
    <w:rsid w:val="00865CE9"/>
    <w:rsid w:val="0087058D"/>
    <w:rsid w:val="008A6F9F"/>
    <w:rsid w:val="009369C8"/>
    <w:rsid w:val="009D205A"/>
    <w:rsid w:val="009D65A2"/>
    <w:rsid w:val="00A33719"/>
    <w:rsid w:val="00A74E51"/>
    <w:rsid w:val="00A764B5"/>
    <w:rsid w:val="00AE43EB"/>
    <w:rsid w:val="00B24CA6"/>
    <w:rsid w:val="00E30AD9"/>
    <w:rsid w:val="00E609A6"/>
    <w:rsid w:val="00E93BC3"/>
    <w:rsid w:val="00E95F64"/>
    <w:rsid w:val="00EB195C"/>
    <w:rsid w:val="00F02102"/>
    <w:rsid w:val="00F83435"/>
    <w:rsid w:val="00F83BEB"/>
    <w:rsid w:val="00FB4D9B"/>
    <w:rsid w:val="00FE0D66"/>
    <w:rsid w:val="00FE4763"/>
    <w:rsid w:val="00FF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7663-6BFF-4309-8C4C-CD2866FC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16</Pages>
  <Words>6433</Words>
  <Characters>36672</Characters>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43019</CharactersWithSpaces>
  <SharedDoc>false</SharedDoc>
  <HLinks>
    <vt:vector size="246" baseType="variant">
      <vt:variant>
        <vt:i4>6684727</vt:i4>
      </vt:variant>
      <vt:variant>
        <vt:i4>219</vt:i4>
      </vt:variant>
      <vt:variant>
        <vt:i4>0</vt:i4>
      </vt:variant>
      <vt:variant>
        <vt:i4>5</vt:i4>
      </vt:variant>
      <vt:variant>
        <vt:lpwstr>https://www.theglobalfund.org/en/search/?q=Grant+portfolio</vt:lpwstr>
      </vt:variant>
      <vt:variant>
        <vt:lpwstr/>
      </vt:variant>
      <vt:variant>
        <vt:i4>4522037</vt:i4>
      </vt:variant>
      <vt:variant>
        <vt:i4>216</vt:i4>
      </vt:variant>
      <vt:variant>
        <vt:i4>0</vt:i4>
      </vt:variant>
      <vt:variant>
        <vt:i4>5</vt:i4>
      </vt:variant>
      <vt:variant>
        <vt:lpwstr>https://www.theglobalfund.org/media/3261/core_budgetinginglobalfundgrants_guideline_en.pdf</vt:lpwstr>
      </vt:variant>
      <vt:variant>
        <vt:lpwstr/>
      </vt:variant>
      <vt:variant>
        <vt:i4>6291535</vt:i4>
      </vt:variant>
      <vt:variant>
        <vt:i4>213</vt:i4>
      </vt:variant>
      <vt:variant>
        <vt:i4>0</vt:i4>
      </vt:variant>
      <vt:variant>
        <vt:i4>5</vt:i4>
      </vt:variant>
      <vt:variant>
        <vt:lpwstr>https://www.theglobalfund.org/media/6041/core_annualauditsoffinancialstatements_guideline_en.pdf?u=637217622760000000</vt:lpwstr>
      </vt:variant>
      <vt:variant>
        <vt:lpwstr/>
      </vt:variant>
      <vt:variant>
        <vt:i4>6946895</vt:i4>
      </vt:variant>
      <vt:variant>
        <vt:i4>207</vt:i4>
      </vt:variant>
      <vt:variant>
        <vt:i4>0</vt:i4>
      </vt:variant>
      <vt:variant>
        <vt:i4>5</vt:i4>
      </vt:variant>
      <vt:variant>
        <vt:lpwstr>https://www.theglobalfund.org/media/7540/financial_financialriskmanagement_guidelines_en.pdf?u=636784020850000000</vt:lpwstr>
      </vt:variant>
      <vt:variant>
        <vt:lpwstr/>
      </vt:variant>
      <vt:variant>
        <vt:i4>5963855</vt:i4>
      </vt:variant>
      <vt:variant>
        <vt:i4>204</vt:i4>
      </vt:variant>
      <vt:variant>
        <vt:i4>0</vt:i4>
      </vt:variant>
      <vt:variant>
        <vt:i4>5</vt:i4>
      </vt:variant>
      <vt:variant>
        <vt:lpwstr>https://www.intosai.org/</vt:lpwstr>
      </vt:variant>
      <vt:variant>
        <vt:lpwstr/>
      </vt:variant>
      <vt:variant>
        <vt:i4>7012387</vt:i4>
      </vt:variant>
      <vt:variant>
        <vt:i4>201</vt:i4>
      </vt:variant>
      <vt:variant>
        <vt:i4>0</vt:i4>
      </vt:variant>
      <vt:variant>
        <vt:i4>5</vt:i4>
      </vt:variant>
      <vt:variant>
        <vt:lpwstr>http://www.theglobalfund.org/en/guidelines/</vt:lpwstr>
      </vt:variant>
      <vt:variant>
        <vt:lpwstr/>
      </vt:variant>
      <vt:variant>
        <vt:i4>1179698</vt:i4>
      </vt:variant>
      <vt:variant>
        <vt:i4>194</vt:i4>
      </vt:variant>
      <vt:variant>
        <vt:i4>0</vt:i4>
      </vt:variant>
      <vt:variant>
        <vt:i4>5</vt:i4>
      </vt:variant>
      <vt:variant>
        <vt:lpwstr/>
      </vt:variant>
      <vt:variant>
        <vt:lpwstr>_Toc101540608</vt:lpwstr>
      </vt:variant>
      <vt:variant>
        <vt:i4>1179698</vt:i4>
      </vt:variant>
      <vt:variant>
        <vt:i4>188</vt:i4>
      </vt:variant>
      <vt:variant>
        <vt:i4>0</vt:i4>
      </vt:variant>
      <vt:variant>
        <vt:i4>5</vt:i4>
      </vt:variant>
      <vt:variant>
        <vt:lpwstr/>
      </vt:variant>
      <vt:variant>
        <vt:lpwstr>_Toc101540606</vt:lpwstr>
      </vt:variant>
      <vt:variant>
        <vt:i4>1179698</vt:i4>
      </vt:variant>
      <vt:variant>
        <vt:i4>182</vt:i4>
      </vt:variant>
      <vt:variant>
        <vt:i4>0</vt:i4>
      </vt:variant>
      <vt:variant>
        <vt:i4>5</vt:i4>
      </vt:variant>
      <vt:variant>
        <vt:lpwstr/>
      </vt:variant>
      <vt:variant>
        <vt:lpwstr>_Toc101540605</vt:lpwstr>
      </vt:variant>
      <vt:variant>
        <vt:i4>1179698</vt:i4>
      </vt:variant>
      <vt:variant>
        <vt:i4>176</vt:i4>
      </vt:variant>
      <vt:variant>
        <vt:i4>0</vt:i4>
      </vt:variant>
      <vt:variant>
        <vt:i4>5</vt:i4>
      </vt:variant>
      <vt:variant>
        <vt:lpwstr/>
      </vt:variant>
      <vt:variant>
        <vt:lpwstr>_Toc101540604</vt:lpwstr>
      </vt:variant>
      <vt:variant>
        <vt:i4>1179698</vt:i4>
      </vt:variant>
      <vt:variant>
        <vt:i4>170</vt:i4>
      </vt:variant>
      <vt:variant>
        <vt:i4>0</vt:i4>
      </vt:variant>
      <vt:variant>
        <vt:i4>5</vt:i4>
      </vt:variant>
      <vt:variant>
        <vt:lpwstr/>
      </vt:variant>
      <vt:variant>
        <vt:lpwstr>_Toc101540602</vt:lpwstr>
      </vt:variant>
      <vt:variant>
        <vt:i4>1179698</vt:i4>
      </vt:variant>
      <vt:variant>
        <vt:i4>164</vt:i4>
      </vt:variant>
      <vt:variant>
        <vt:i4>0</vt:i4>
      </vt:variant>
      <vt:variant>
        <vt:i4>5</vt:i4>
      </vt:variant>
      <vt:variant>
        <vt:lpwstr/>
      </vt:variant>
      <vt:variant>
        <vt:lpwstr>_Toc101540600</vt:lpwstr>
      </vt:variant>
      <vt:variant>
        <vt:i4>1769521</vt:i4>
      </vt:variant>
      <vt:variant>
        <vt:i4>158</vt:i4>
      </vt:variant>
      <vt:variant>
        <vt:i4>0</vt:i4>
      </vt:variant>
      <vt:variant>
        <vt:i4>5</vt:i4>
      </vt:variant>
      <vt:variant>
        <vt:lpwstr/>
      </vt:variant>
      <vt:variant>
        <vt:lpwstr>_Toc101540598</vt:lpwstr>
      </vt:variant>
      <vt:variant>
        <vt:i4>1769521</vt:i4>
      </vt:variant>
      <vt:variant>
        <vt:i4>152</vt:i4>
      </vt:variant>
      <vt:variant>
        <vt:i4>0</vt:i4>
      </vt:variant>
      <vt:variant>
        <vt:i4>5</vt:i4>
      </vt:variant>
      <vt:variant>
        <vt:lpwstr/>
      </vt:variant>
      <vt:variant>
        <vt:lpwstr>_Toc101540595</vt:lpwstr>
      </vt:variant>
      <vt:variant>
        <vt:i4>1769521</vt:i4>
      </vt:variant>
      <vt:variant>
        <vt:i4>146</vt:i4>
      </vt:variant>
      <vt:variant>
        <vt:i4>0</vt:i4>
      </vt:variant>
      <vt:variant>
        <vt:i4>5</vt:i4>
      </vt:variant>
      <vt:variant>
        <vt:lpwstr/>
      </vt:variant>
      <vt:variant>
        <vt:lpwstr>_Toc101540594</vt:lpwstr>
      </vt:variant>
      <vt:variant>
        <vt:i4>1769521</vt:i4>
      </vt:variant>
      <vt:variant>
        <vt:i4>140</vt:i4>
      </vt:variant>
      <vt:variant>
        <vt:i4>0</vt:i4>
      </vt:variant>
      <vt:variant>
        <vt:i4>5</vt:i4>
      </vt:variant>
      <vt:variant>
        <vt:lpwstr/>
      </vt:variant>
      <vt:variant>
        <vt:lpwstr>_Toc101540593</vt:lpwstr>
      </vt:variant>
      <vt:variant>
        <vt:i4>1769521</vt:i4>
      </vt:variant>
      <vt:variant>
        <vt:i4>134</vt:i4>
      </vt:variant>
      <vt:variant>
        <vt:i4>0</vt:i4>
      </vt:variant>
      <vt:variant>
        <vt:i4>5</vt:i4>
      </vt:variant>
      <vt:variant>
        <vt:lpwstr/>
      </vt:variant>
      <vt:variant>
        <vt:lpwstr>_Toc101540592</vt:lpwstr>
      </vt:variant>
      <vt:variant>
        <vt:i4>1769521</vt:i4>
      </vt:variant>
      <vt:variant>
        <vt:i4>128</vt:i4>
      </vt:variant>
      <vt:variant>
        <vt:i4>0</vt:i4>
      </vt:variant>
      <vt:variant>
        <vt:i4>5</vt:i4>
      </vt:variant>
      <vt:variant>
        <vt:lpwstr/>
      </vt:variant>
      <vt:variant>
        <vt:lpwstr>_Toc101540591</vt:lpwstr>
      </vt:variant>
      <vt:variant>
        <vt:i4>1769521</vt:i4>
      </vt:variant>
      <vt:variant>
        <vt:i4>122</vt:i4>
      </vt:variant>
      <vt:variant>
        <vt:i4>0</vt:i4>
      </vt:variant>
      <vt:variant>
        <vt:i4>5</vt:i4>
      </vt:variant>
      <vt:variant>
        <vt:lpwstr/>
      </vt:variant>
      <vt:variant>
        <vt:lpwstr>_Toc101540590</vt:lpwstr>
      </vt:variant>
      <vt:variant>
        <vt:i4>1703985</vt:i4>
      </vt:variant>
      <vt:variant>
        <vt:i4>116</vt:i4>
      </vt:variant>
      <vt:variant>
        <vt:i4>0</vt:i4>
      </vt:variant>
      <vt:variant>
        <vt:i4>5</vt:i4>
      </vt:variant>
      <vt:variant>
        <vt:lpwstr/>
      </vt:variant>
      <vt:variant>
        <vt:lpwstr>_Toc101540589</vt:lpwstr>
      </vt:variant>
      <vt:variant>
        <vt:i4>1703985</vt:i4>
      </vt:variant>
      <vt:variant>
        <vt:i4>110</vt:i4>
      </vt:variant>
      <vt:variant>
        <vt:i4>0</vt:i4>
      </vt:variant>
      <vt:variant>
        <vt:i4>5</vt:i4>
      </vt:variant>
      <vt:variant>
        <vt:lpwstr/>
      </vt:variant>
      <vt:variant>
        <vt:lpwstr>_Toc101540588</vt:lpwstr>
      </vt:variant>
      <vt:variant>
        <vt:i4>1703985</vt:i4>
      </vt:variant>
      <vt:variant>
        <vt:i4>104</vt:i4>
      </vt:variant>
      <vt:variant>
        <vt:i4>0</vt:i4>
      </vt:variant>
      <vt:variant>
        <vt:i4>5</vt:i4>
      </vt:variant>
      <vt:variant>
        <vt:lpwstr/>
      </vt:variant>
      <vt:variant>
        <vt:lpwstr>_Toc101540587</vt:lpwstr>
      </vt:variant>
      <vt:variant>
        <vt:i4>1703985</vt:i4>
      </vt:variant>
      <vt:variant>
        <vt:i4>98</vt:i4>
      </vt:variant>
      <vt:variant>
        <vt:i4>0</vt:i4>
      </vt:variant>
      <vt:variant>
        <vt:i4>5</vt:i4>
      </vt:variant>
      <vt:variant>
        <vt:lpwstr/>
      </vt:variant>
      <vt:variant>
        <vt:lpwstr>_Toc101540586</vt:lpwstr>
      </vt:variant>
      <vt:variant>
        <vt:i4>1703985</vt:i4>
      </vt:variant>
      <vt:variant>
        <vt:i4>92</vt:i4>
      </vt:variant>
      <vt:variant>
        <vt:i4>0</vt:i4>
      </vt:variant>
      <vt:variant>
        <vt:i4>5</vt:i4>
      </vt:variant>
      <vt:variant>
        <vt:lpwstr/>
      </vt:variant>
      <vt:variant>
        <vt:lpwstr>_Toc101540584</vt:lpwstr>
      </vt:variant>
      <vt:variant>
        <vt:i4>1703985</vt:i4>
      </vt:variant>
      <vt:variant>
        <vt:i4>86</vt:i4>
      </vt:variant>
      <vt:variant>
        <vt:i4>0</vt:i4>
      </vt:variant>
      <vt:variant>
        <vt:i4>5</vt:i4>
      </vt:variant>
      <vt:variant>
        <vt:lpwstr/>
      </vt:variant>
      <vt:variant>
        <vt:lpwstr>_Toc101540583</vt:lpwstr>
      </vt:variant>
      <vt:variant>
        <vt:i4>1703985</vt:i4>
      </vt:variant>
      <vt:variant>
        <vt:i4>80</vt:i4>
      </vt:variant>
      <vt:variant>
        <vt:i4>0</vt:i4>
      </vt:variant>
      <vt:variant>
        <vt:i4>5</vt:i4>
      </vt:variant>
      <vt:variant>
        <vt:lpwstr/>
      </vt:variant>
      <vt:variant>
        <vt:lpwstr>_Toc101540582</vt:lpwstr>
      </vt:variant>
      <vt:variant>
        <vt:i4>1703985</vt:i4>
      </vt:variant>
      <vt:variant>
        <vt:i4>74</vt:i4>
      </vt:variant>
      <vt:variant>
        <vt:i4>0</vt:i4>
      </vt:variant>
      <vt:variant>
        <vt:i4>5</vt:i4>
      </vt:variant>
      <vt:variant>
        <vt:lpwstr/>
      </vt:variant>
      <vt:variant>
        <vt:lpwstr>_Toc101540581</vt:lpwstr>
      </vt:variant>
      <vt:variant>
        <vt:i4>1703985</vt:i4>
      </vt:variant>
      <vt:variant>
        <vt:i4>68</vt:i4>
      </vt:variant>
      <vt:variant>
        <vt:i4>0</vt:i4>
      </vt:variant>
      <vt:variant>
        <vt:i4>5</vt:i4>
      </vt:variant>
      <vt:variant>
        <vt:lpwstr/>
      </vt:variant>
      <vt:variant>
        <vt:lpwstr>_Toc101540580</vt:lpwstr>
      </vt:variant>
      <vt:variant>
        <vt:i4>1376305</vt:i4>
      </vt:variant>
      <vt:variant>
        <vt:i4>62</vt:i4>
      </vt:variant>
      <vt:variant>
        <vt:i4>0</vt:i4>
      </vt:variant>
      <vt:variant>
        <vt:i4>5</vt:i4>
      </vt:variant>
      <vt:variant>
        <vt:lpwstr/>
      </vt:variant>
      <vt:variant>
        <vt:lpwstr>_Toc101540579</vt:lpwstr>
      </vt:variant>
      <vt:variant>
        <vt:i4>1376305</vt:i4>
      </vt:variant>
      <vt:variant>
        <vt:i4>56</vt:i4>
      </vt:variant>
      <vt:variant>
        <vt:i4>0</vt:i4>
      </vt:variant>
      <vt:variant>
        <vt:i4>5</vt:i4>
      </vt:variant>
      <vt:variant>
        <vt:lpwstr/>
      </vt:variant>
      <vt:variant>
        <vt:lpwstr>_Toc101540578</vt:lpwstr>
      </vt:variant>
      <vt:variant>
        <vt:i4>1376305</vt:i4>
      </vt:variant>
      <vt:variant>
        <vt:i4>50</vt:i4>
      </vt:variant>
      <vt:variant>
        <vt:i4>0</vt:i4>
      </vt:variant>
      <vt:variant>
        <vt:i4>5</vt:i4>
      </vt:variant>
      <vt:variant>
        <vt:lpwstr/>
      </vt:variant>
      <vt:variant>
        <vt:lpwstr>_Toc101540575</vt:lpwstr>
      </vt:variant>
      <vt:variant>
        <vt:i4>1376305</vt:i4>
      </vt:variant>
      <vt:variant>
        <vt:i4>44</vt:i4>
      </vt:variant>
      <vt:variant>
        <vt:i4>0</vt:i4>
      </vt:variant>
      <vt:variant>
        <vt:i4>5</vt:i4>
      </vt:variant>
      <vt:variant>
        <vt:lpwstr/>
      </vt:variant>
      <vt:variant>
        <vt:lpwstr>_Toc101540574</vt:lpwstr>
      </vt:variant>
      <vt:variant>
        <vt:i4>1376305</vt:i4>
      </vt:variant>
      <vt:variant>
        <vt:i4>38</vt:i4>
      </vt:variant>
      <vt:variant>
        <vt:i4>0</vt:i4>
      </vt:variant>
      <vt:variant>
        <vt:i4>5</vt:i4>
      </vt:variant>
      <vt:variant>
        <vt:lpwstr/>
      </vt:variant>
      <vt:variant>
        <vt:lpwstr>_Toc101540573</vt:lpwstr>
      </vt:variant>
      <vt:variant>
        <vt:i4>1376305</vt:i4>
      </vt:variant>
      <vt:variant>
        <vt:i4>32</vt:i4>
      </vt:variant>
      <vt:variant>
        <vt:i4>0</vt:i4>
      </vt:variant>
      <vt:variant>
        <vt:i4>5</vt:i4>
      </vt:variant>
      <vt:variant>
        <vt:lpwstr/>
      </vt:variant>
      <vt:variant>
        <vt:lpwstr>_Toc101540572</vt:lpwstr>
      </vt:variant>
      <vt:variant>
        <vt:i4>1376305</vt:i4>
      </vt:variant>
      <vt:variant>
        <vt:i4>26</vt:i4>
      </vt:variant>
      <vt:variant>
        <vt:i4>0</vt:i4>
      </vt:variant>
      <vt:variant>
        <vt:i4>5</vt:i4>
      </vt:variant>
      <vt:variant>
        <vt:lpwstr/>
      </vt:variant>
      <vt:variant>
        <vt:lpwstr>_Toc101540571</vt:lpwstr>
      </vt:variant>
      <vt:variant>
        <vt:i4>1376305</vt:i4>
      </vt:variant>
      <vt:variant>
        <vt:i4>20</vt:i4>
      </vt:variant>
      <vt:variant>
        <vt:i4>0</vt:i4>
      </vt:variant>
      <vt:variant>
        <vt:i4>5</vt:i4>
      </vt:variant>
      <vt:variant>
        <vt:lpwstr/>
      </vt:variant>
      <vt:variant>
        <vt:lpwstr>_Toc101540570</vt:lpwstr>
      </vt:variant>
      <vt:variant>
        <vt:i4>1310769</vt:i4>
      </vt:variant>
      <vt:variant>
        <vt:i4>14</vt:i4>
      </vt:variant>
      <vt:variant>
        <vt:i4>0</vt:i4>
      </vt:variant>
      <vt:variant>
        <vt:i4>5</vt:i4>
      </vt:variant>
      <vt:variant>
        <vt:lpwstr/>
      </vt:variant>
      <vt:variant>
        <vt:lpwstr>_Toc101540569</vt:lpwstr>
      </vt:variant>
      <vt:variant>
        <vt:i4>1310769</vt:i4>
      </vt:variant>
      <vt:variant>
        <vt:i4>8</vt:i4>
      </vt:variant>
      <vt:variant>
        <vt:i4>0</vt:i4>
      </vt:variant>
      <vt:variant>
        <vt:i4>5</vt:i4>
      </vt:variant>
      <vt:variant>
        <vt:lpwstr/>
      </vt:variant>
      <vt:variant>
        <vt:lpwstr>_Toc101540568</vt:lpwstr>
      </vt:variant>
      <vt:variant>
        <vt:i4>1310769</vt:i4>
      </vt:variant>
      <vt:variant>
        <vt:i4>2</vt:i4>
      </vt:variant>
      <vt:variant>
        <vt:i4>0</vt:i4>
      </vt:variant>
      <vt:variant>
        <vt:i4>5</vt:i4>
      </vt:variant>
      <vt:variant>
        <vt:lpwstr/>
      </vt:variant>
      <vt:variant>
        <vt:lpwstr>_Toc101540567</vt:lpwstr>
      </vt:variant>
      <vt:variant>
        <vt:i4>6946895</vt:i4>
      </vt:variant>
      <vt:variant>
        <vt:i4>3</vt:i4>
      </vt:variant>
      <vt:variant>
        <vt:i4>0</vt:i4>
      </vt:variant>
      <vt:variant>
        <vt:i4>5</vt:i4>
      </vt:variant>
      <vt:variant>
        <vt:lpwstr>https://www.theglobalfund.org/media/7540/financial_financialriskmanagement_guidelines_en.pdf?u=636784020850000000</vt:lpwstr>
      </vt:variant>
      <vt:variant>
        <vt:lpwstr/>
      </vt:variant>
      <vt:variant>
        <vt:i4>2031712</vt:i4>
      </vt:variant>
      <vt:variant>
        <vt:i4>0</vt:i4>
      </vt:variant>
      <vt:variant>
        <vt:i4>0</vt:i4>
      </vt:variant>
      <vt:variant>
        <vt:i4>5</vt:i4>
      </vt:variant>
      <vt:variant>
        <vt:lpwstr>https://www.theglobalfund.org/media/6156/core_pudr_guidelines_en.pdf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2022-04-25T11:52:00Z</dcterms:created>
  <dcterms:modified xsi:type="dcterms:W3CDTF">2022-05-24T11:51:00Z</dcterms:modified>
</cp:coreProperties>
</file>